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after="156" w:line="400" w:lineRule="exact"/>
        <w:ind w:firstLine="720" w:firstLineChars="300"/>
        <w:rPr>
          <w:rStyle w:val="6"/>
          <w:rFonts w:ascii="宋体" w:hAnsi="宋体"/>
          <w:bCs/>
          <w:iCs/>
          <w:color w:val="000000"/>
          <w:sz w:val="24"/>
        </w:rPr>
      </w:pPr>
      <w:r>
        <w:rPr>
          <w:rStyle w:val="6"/>
          <w:rFonts w:ascii="宋体" w:hAnsi="宋体"/>
          <w:bCs/>
          <w:iCs/>
          <w:color w:val="000000"/>
          <w:sz w:val="24"/>
        </w:rPr>
        <w:t>证券代码：002332                  证券简称：仙琚制药</w:t>
      </w:r>
    </w:p>
    <w:p>
      <w:pPr>
        <w:spacing w:before="156" w:after="156" w:line="400" w:lineRule="exact"/>
        <w:ind w:firstLine="720" w:firstLineChars="300"/>
        <w:rPr>
          <w:rStyle w:val="6"/>
          <w:rFonts w:ascii="宋体" w:hAnsi="宋体"/>
          <w:bCs/>
          <w:iCs/>
          <w:color w:val="000000"/>
          <w:sz w:val="24"/>
        </w:rPr>
      </w:pPr>
    </w:p>
    <w:p>
      <w:pPr>
        <w:spacing w:before="156" w:after="156" w:line="400" w:lineRule="exact"/>
        <w:jc w:val="center"/>
        <w:rPr>
          <w:rStyle w:val="6"/>
          <w:rFonts w:ascii="宋体" w:hAnsi="宋体"/>
          <w:b/>
          <w:bCs/>
          <w:iCs/>
          <w:color w:val="000000"/>
          <w:sz w:val="32"/>
          <w:szCs w:val="32"/>
        </w:rPr>
      </w:pPr>
      <w:r>
        <w:rPr>
          <w:rStyle w:val="6"/>
          <w:rFonts w:ascii="宋体" w:hAnsi="宋体"/>
          <w:b/>
          <w:bCs/>
          <w:iCs/>
          <w:color w:val="000000"/>
          <w:sz w:val="32"/>
          <w:szCs w:val="32"/>
        </w:rPr>
        <w:t>浙江仙琚制药股份有限公司投资者关系活动记录表</w:t>
      </w:r>
    </w:p>
    <w:p>
      <w:pPr>
        <w:spacing w:line="400" w:lineRule="exact"/>
        <w:rPr>
          <w:rStyle w:val="6"/>
          <w:rFonts w:ascii="宋体" w:hAnsi="宋体"/>
          <w:bCs/>
          <w:iCs/>
          <w:color w:val="FF0000"/>
          <w:sz w:val="24"/>
        </w:rPr>
      </w:pPr>
      <w:r>
        <w:rPr>
          <w:rStyle w:val="6"/>
          <w:rFonts w:ascii="宋体" w:hAnsi="宋体"/>
          <w:bCs/>
          <w:iCs/>
          <w:color w:val="000000"/>
          <w:sz w:val="24"/>
        </w:rPr>
        <w:t xml:space="preserve">                                                      编号：20</w:t>
      </w:r>
      <w:r>
        <w:rPr>
          <w:rStyle w:val="6"/>
          <w:rFonts w:hint="eastAsia" w:ascii="宋体" w:hAnsi="宋体"/>
          <w:bCs/>
          <w:iCs/>
          <w:color w:val="000000"/>
          <w:sz w:val="24"/>
        </w:rPr>
        <w:t>22</w:t>
      </w:r>
      <w:r>
        <w:rPr>
          <w:rStyle w:val="6"/>
          <w:rFonts w:ascii="宋体" w:hAnsi="宋体"/>
          <w:bCs/>
          <w:iCs/>
          <w:color w:val="000000"/>
          <w:sz w:val="24"/>
        </w:rPr>
        <w:t>-0</w:t>
      </w:r>
      <w:r>
        <w:rPr>
          <w:rStyle w:val="6"/>
          <w:rFonts w:ascii="宋体" w:hAnsi="宋体"/>
          <w:bCs/>
          <w:iCs/>
          <w:sz w:val="24"/>
        </w:rPr>
        <w:t>0</w:t>
      </w:r>
      <w:r>
        <w:rPr>
          <w:rStyle w:val="6"/>
          <w:rFonts w:hint="eastAsia" w:ascii="宋体" w:hAnsi="宋体"/>
          <w:bCs/>
          <w:iCs/>
          <w:sz w:val="24"/>
        </w:rPr>
        <w:t>1</w:t>
      </w:r>
    </w:p>
    <w:tbl>
      <w:tblPr>
        <w:tblStyle w:val="4"/>
        <w:tblW w:w="861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3"/>
        <w:gridCol w:w="67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883"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投资者关系活动类别</w:t>
            </w:r>
          </w:p>
          <w:p>
            <w:pPr>
              <w:spacing w:line="480" w:lineRule="atLeast"/>
              <w:rPr>
                <w:rStyle w:val="6"/>
                <w:rFonts w:ascii="宋体" w:hAnsi="宋体"/>
                <w:b/>
                <w:bCs/>
                <w:iCs/>
                <w:color w:val="000000"/>
                <w:sz w:val="24"/>
              </w:rPr>
            </w:pPr>
          </w:p>
        </w:tc>
        <w:tc>
          <w:tcPr>
            <w:tcW w:w="6735"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sz w:val="24"/>
              </w:rPr>
            </w:pPr>
            <w:r>
              <w:rPr>
                <w:rStyle w:val="6"/>
                <w:rFonts w:ascii="宋体" w:hAnsi="宋体"/>
                <w:bCs/>
                <w:iCs/>
                <w:color w:val="000000"/>
                <w:sz w:val="24"/>
              </w:rPr>
              <w:sym w:font="Wingdings 2" w:char="00A3"/>
            </w:r>
            <w:r>
              <w:rPr>
                <w:rStyle w:val="6"/>
                <w:rFonts w:ascii="宋体" w:hAnsi="宋体"/>
                <w:sz w:val="24"/>
              </w:rPr>
              <w:t xml:space="preserve">特定对象调研 </w:t>
            </w:r>
            <w:r>
              <w:rPr>
                <w:rStyle w:val="6"/>
                <w:rFonts w:hint="eastAsia" w:ascii="宋体" w:hAnsi="宋体"/>
                <w:sz w:val="24"/>
              </w:rPr>
              <w:t>现场会议</w:t>
            </w:r>
            <w:r>
              <w:rPr>
                <w:rStyle w:val="6"/>
                <w:rFonts w:ascii="宋体" w:hAnsi="宋体"/>
                <w:bCs/>
                <w:iCs/>
                <w:color w:val="000000"/>
                <w:sz w:val="24"/>
              </w:rPr>
              <w:t>□</w:t>
            </w:r>
            <w:r>
              <w:rPr>
                <w:rStyle w:val="6"/>
                <w:rFonts w:ascii="宋体" w:hAnsi="宋体"/>
                <w:sz w:val="24"/>
              </w:rPr>
              <w:t>分析师会议</w:t>
            </w:r>
          </w:p>
          <w:p>
            <w:pPr>
              <w:spacing w:line="480" w:lineRule="atLeast"/>
              <w:rPr>
                <w:rStyle w:val="6"/>
                <w:rFonts w:ascii="宋体" w:hAnsi="宋体"/>
                <w:bCs/>
                <w:iCs/>
                <w:color w:val="000000"/>
                <w:sz w:val="24"/>
              </w:rPr>
            </w:pPr>
            <w:r>
              <w:rPr>
                <w:rStyle w:val="6"/>
                <w:rFonts w:ascii="宋体" w:hAnsi="宋体"/>
                <w:bCs/>
                <w:iCs/>
                <w:color w:val="000000"/>
                <w:sz w:val="24"/>
              </w:rPr>
              <w:sym w:font="Wingdings 2" w:char="00A3"/>
            </w:r>
            <w:r>
              <w:rPr>
                <w:rStyle w:val="6"/>
                <w:rFonts w:ascii="宋体" w:hAnsi="宋体"/>
                <w:sz w:val="24"/>
              </w:rPr>
              <w:t xml:space="preserve">媒体采访           </w:t>
            </w:r>
            <w:r>
              <w:rPr>
                <w:rStyle w:val="6"/>
                <w:rFonts w:hint="eastAsia" w:ascii="宋体" w:hAnsi="宋体"/>
                <w:sz w:val="24"/>
              </w:rPr>
              <w:t xml:space="preserve">  </w:t>
            </w:r>
            <w:r>
              <w:rPr>
                <w:rStyle w:val="6"/>
                <w:rFonts w:ascii="宋体" w:hAnsi="宋体"/>
                <w:bCs/>
                <w:iCs/>
                <w:color w:val="000000"/>
                <w:sz w:val="24"/>
              </w:rPr>
              <w:t>□</w:t>
            </w:r>
            <w:r>
              <w:rPr>
                <w:rStyle w:val="6"/>
                <w:rFonts w:ascii="宋体" w:hAnsi="宋体"/>
                <w:sz w:val="24"/>
              </w:rPr>
              <w:t>业绩说明会</w:t>
            </w:r>
          </w:p>
          <w:p>
            <w:pPr>
              <w:spacing w:line="480" w:lineRule="atLeast"/>
              <w:rPr>
                <w:rStyle w:val="6"/>
                <w:rFonts w:ascii="宋体" w:hAnsi="宋体"/>
                <w:bCs/>
                <w:iCs/>
                <w:color w:val="000000"/>
                <w:sz w:val="24"/>
              </w:rPr>
            </w:pPr>
            <w:r>
              <w:rPr>
                <w:rStyle w:val="6"/>
                <w:rFonts w:ascii="宋体" w:hAnsi="宋体"/>
                <w:bCs/>
                <w:iCs/>
                <w:color w:val="000000"/>
                <w:sz w:val="24"/>
              </w:rPr>
              <w:t>□</w:t>
            </w:r>
            <w:r>
              <w:rPr>
                <w:rStyle w:val="6"/>
                <w:rFonts w:ascii="宋体" w:hAnsi="宋体"/>
                <w:sz w:val="24"/>
              </w:rPr>
              <w:t xml:space="preserve">新闻发布会        </w:t>
            </w:r>
            <w:r>
              <w:rPr>
                <w:rStyle w:val="6"/>
                <w:rFonts w:hint="eastAsia" w:ascii="宋体" w:hAnsi="宋体"/>
                <w:sz w:val="24"/>
              </w:rPr>
              <w:t xml:space="preserve">  </w:t>
            </w:r>
            <w:r>
              <w:rPr>
                <w:rStyle w:val="6"/>
                <w:rFonts w:ascii="宋体" w:hAnsi="宋体"/>
                <w:sz w:val="24"/>
              </w:rPr>
              <w:t xml:space="preserve"> </w:t>
            </w:r>
            <w:r>
              <w:rPr>
                <w:rStyle w:val="6"/>
                <w:rFonts w:ascii="宋体" w:hAnsi="宋体"/>
                <w:bCs/>
                <w:iCs/>
                <w:color w:val="000000"/>
                <w:sz w:val="24"/>
              </w:rPr>
              <w:t>□</w:t>
            </w:r>
            <w:r>
              <w:rPr>
                <w:rStyle w:val="6"/>
                <w:rFonts w:ascii="宋体" w:hAnsi="宋体"/>
                <w:sz w:val="24"/>
              </w:rPr>
              <w:t>路演活动</w:t>
            </w:r>
          </w:p>
          <w:p>
            <w:pPr>
              <w:tabs>
                <w:tab w:val="left" w:pos="3045"/>
                <w:tab w:val="center" w:pos="3199"/>
              </w:tabs>
              <w:spacing w:line="480" w:lineRule="atLeast"/>
              <w:rPr>
                <w:rStyle w:val="6"/>
                <w:rFonts w:ascii="宋体" w:hAnsi="宋体"/>
                <w:bCs/>
                <w:iCs/>
                <w:color w:val="000000"/>
                <w:sz w:val="24"/>
              </w:rPr>
            </w:pPr>
            <w:r>
              <w:rPr>
                <w:rStyle w:val="6"/>
                <w:rFonts w:ascii="宋体" w:hAnsi="宋体"/>
                <w:bCs/>
                <w:iCs/>
                <w:color w:val="000000"/>
                <w:sz w:val="24"/>
              </w:rPr>
              <w:t>□</w:t>
            </w:r>
            <w:r>
              <w:rPr>
                <w:rStyle w:val="6"/>
                <w:rFonts w:ascii="宋体" w:hAnsi="宋体"/>
                <w:sz w:val="24"/>
              </w:rPr>
              <w:t>现场参观</w:t>
            </w:r>
            <w:r>
              <w:rPr>
                <w:rStyle w:val="6"/>
                <w:rFonts w:hint="eastAsia" w:ascii="宋体" w:hAnsi="宋体"/>
                <w:sz w:val="24"/>
              </w:rPr>
              <w:t xml:space="preserve">             </w:t>
            </w:r>
            <w:r>
              <w:rPr>
                <w:rStyle w:val="6"/>
                <w:rFonts w:ascii="宋体" w:hAnsi="宋体"/>
                <w:bCs/>
                <w:iCs/>
                <w:color w:val="000000"/>
                <w:sz w:val="24"/>
              </w:rPr>
              <w:sym w:font="Wingdings 2" w:char="0052"/>
            </w:r>
            <w:r>
              <w:rPr>
                <w:rStyle w:val="6"/>
                <w:rFonts w:ascii="宋体" w:hAnsi="宋体"/>
                <w:sz w:val="24"/>
              </w:rPr>
              <w:t xml:space="preserve">其他 </w:t>
            </w:r>
            <w:r>
              <w:rPr>
                <w:rStyle w:val="6"/>
                <w:rFonts w:ascii="宋体" w:hAnsi="宋体"/>
                <w:sz w:val="24"/>
                <w:szCs w:val="22"/>
              </w:rPr>
              <w:t>电话会议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883"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参与单位名称</w:t>
            </w:r>
          </w:p>
        </w:tc>
        <w:tc>
          <w:tcPr>
            <w:tcW w:w="6735"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Style w:val="6"/>
                <w:rFonts w:hint="eastAsia"/>
                <w:sz w:val="24"/>
              </w:rPr>
            </w:pPr>
            <w:r>
              <w:rPr>
                <w:rStyle w:val="6"/>
                <w:rFonts w:hint="eastAsia"/>
                <w:sz w:val="24"/>
              </w:rPr>
              <w:t xml:space="preserve">中泰证券  南土资产   思晔投资   顶天投资   重阳投资 </w:t>
            </w:r>
          </w:p>
          <w:p>
            <w:pPr>
              <w:spacing w:line="360" w:lineRule="auto"/>
              <w:ind w:firstLine="120" w:firstLineChars="50"/>
              <w:rPr>
                <w:sz w:val="24"/>
              </w:rPr>
            </w:pPr>
            <w:r>
              <w:rPr>
                <w:rStyle w:val="6"/>
                <w:rFonts w:hint="eastAsia"/>
                <w:sz w:val="24"/>
              </w:rPr>
              <w:t xml:space="preserve">恒生前海  玖鹏投资   新华资产   长城财富   </w:t>
            </w:r>
            <w:r>
              <w:rPr>
                <w:rFonts w:hint="eastAsia"/>
                <w:color w:val="000000"/>
                <w:sz w:val="22"/>
                <w:szCs w:val="22"/>
              </w:rPr>
              <w:t>进化论资产</w:t>
            </w:r>
          </w:p>
          <w:p>
            <w:pPr>
              <w:spacing w:line="360" w:lineRule="auto"/>
              <w:ind w:firstLine="120" w:firstLineChars="50"/>
              <w:rPr>
                <w:rStyle w:val="6"/>
                <w:rFonts w:hint="eastAsia"/>
                <w:sz w:val="24"/>
              </w:rPr>
            </w:pPr>
            <w:r>
              <w:rPr>
                <w:rStyle w:val="6"/>
                <w:rFonts w:hint="eastAsia"/>
                <w:sz w:val="24"/>
              </w:rPr>
              <w:t>山东高速  禹田资本   华夏基金   泰康资产   光大保德信</w:t>
            </w:r>
          </w:p>
          <w:p>
            <w:pPr>
              <w:spacing w:line="360" w:lineRule="auto"/>
              <w:ind w:firstLine="120" w:firstLineChars="50"/>
              <w:rPr>
                <w:rStyle w:val="6"/>
                <w:rFonts w:hint="eastAsia"/>
                <w:sz w:val="24"/>
              </w:rPr>
            </w:pPr>
            <w:r>
              <w:rPr>
                <w:rStyle w:val="6"/>
                <w:rFonts w:hint="eastAsia"/>
                <w:sz w:val="24"/>
              </w:rPr>
              <w:t>淳厚基金  敦和资产   中银资管   同泰基金   泰康资产</w:t>
            </w:r>
          </w:p>
          <w:p>
            <w:pPr>
              <w:spacing w:line="360" w:lineRule="auto"/>
              <w:ind w:firstLine="120" w:firstLineChars="50"/>
              <w:rPr>
                <w:rStyle w:val="6"/>
                <w:rFonts w:hint="eastAsia"/>
                <w:sz w:val="24"/>
              </w:rPr>
            </w:pPr>
            <w:r>
              <w:rPr>
                <w:rStyle w:val="6"/>
                <w:rFonts w:hint="eastAsia"/>
                <w:sz w:val="24"/>
              </w:rPr>
              <w:t>泰信基金  上投摩根   诺德基金   源乘投资   国寿安保</w:t>
            </w:r>
          </w:p>
          <w:p>
            <w:pPr>
              <w:spacing w:line="360" w:lineRule="auto"/>
              <w:ind w:firstLine="120" w:firstLineChars="50"/>
              <w:rPr>
                <w:rStyle w:val="6"/>
                <w:rFonts w:hint="eastAsia"/>
                <w:sz w:val="24"/>
              </w:rPr>
            </w:pPr>
            <w:r>
              <w:rPr>
                <w:rStyle w:val="6"/>
                <w:rFonts w:hint="eastAsia"/>
                <w:sz w:val="24"/>
              </w:rPr>
              <w:t>美迪西    博时基金   中泰资管   天治基金   中信资管</w:t>
            </w:r>
          </w:p>
          <w:p>
            <w:pPr>
              <w:spacing w:line="360" w:lineRule="auto"/>
              <w:ind w:firstLine="120" w:firstLineChars="50"/>
              <w:rPr>
                <w:rStyle w:val="6"/>
                <w:rFonts w:hint="eastAsia"/>
                <w:sz w:val="24"/>
              </w:rPr>
            </w:pPr>
            <w:r>
              <w:rPr>
                <w:rStyle w:val="6"/>
                <w:rFonts w:hint="eastAsia"/>
                <w:sz w:val="24"/>
              </w:rPr>
              <w:t>东吴人寿  农银汇理   银河基金   长城自营   江苏瑞华</w:t>
            </w:r>
          </w:p>
          <w:p>
            <w:pPr>
              <w:spacing w:line="360" w:lineRule="auto"/>
              <w:ind w:firstLine="120" w:firstLineChars="50"/>
              <w:rPr>
                <w:rStyle w:val="6"/>
                <w:rFonts w:hint="eastAsia"/>
                <w:sz w:val="24"/>
              </w:rPr>
            </w:pPr>
            <w:r>
              <w:rPr>
                <w:rStyle w:val="6"/>
                <w:rFonts w:hint="eastAsia"/>
                <w:sz w:val="24"/>
              </w:rPr>
              <w:t>建信基金  博时基金   阳光资产   银华基金</w:t>
            </w:r>
            <w:r>
              <w:rPr>
                <w:rStyle w:val="6"/>
                <w:rFonts w:hint="eastAsia"/>
                <w:sz w:val="24"/>
                <w:lang w:val="en-US" w:eastAsia="zh-CN"/>
              </w:rPr>
              <w:t xml:space="preserve">   </w:t>
            </w:r>
            <w:r>
              <w:rPr>
                <w:rStyle w:val="6"/>
                <w:rFonts w:hint="eastAsia"/>
                <w:sz w:val="24"/>
              </w:rPr>
              <w:t>上银基金</w:t>
            </w:r>
          </w:p>
          <w:p>
            <w:pPr>
              <w:spacing w:line="360" w:lineRule="auto"/>
              <w:ind w:firstLine="120" w:firstLineChars="50"/>
              <w:rPr>
                <w:rStyle w:val="6"/>
                <w:rFonts w:hint="eastAsia"/>
                <w:sz w:val="24"/>
              </w:rPr>
            </w:pPr>
            <w:r>
              <w:rPr>
                <w:rStyle w:val="6"/>
                <w:rFonts w:hint="eastAsia"/>
                <w:sz w:val="24"/>
              </w:rPr>
              <w:t>九泰基金  圆信永丰   益民基金   泰达宏利   招银理财</w:t>
            </w:r>
          </w:p>
          <w:p>
            <w:pPr>
              <w:spacing w:line="360" w:lineRule="auto"/>
              <w:ind w:firstLine="120" w:firstLineChars="50"/>
              <w:rPr>
                <w:rStyle w:val="6"/>
                <w:rFonts w:hint="eastAsia"/>
                <w:sz w:val="24"/>
              </w:rPr>
            </w:pPr>
            <w:r>
              <w:rPr>
                <w:rStyle w:val="6"/>
                <w:rFonts w:hint="eastAsia"/>
                <w:sz w:val="24"/>
              </w:rPr>
              <w:t>大成基金  华泰证券   青骊投资   盛宇投资   鹏华基金</w:t>
            </w:r>
          </w:p>
          <w:p>
            <w:pPr>
              <w:spacing w:line="360" w:lineRule="auto"/>
              <w:ind w:firstLine="120" w:firstLineChars="50"/>
              <w:rPr>
                <w:rStyle w:val="6"/>
                <w:rFonts w:hint="eastAsia"/>
                <w:sz w:val="24"/>
              </w:rPr>
            </w:pPr>
            <w:r>
              <w:rPr>
                <w:rStyle w:val="6"/>
                <w:rFonts w:hint="eastAsia"/>
                <w:sz w:val="24"/>
              </w:rPr>
              <w:t>丹羿投资  合众资产   五地投资   歌斐资产   诚盛投资</w:t>
            </w:r>
          </w:p>
          <w:p>
            <w:pPr>
              <w:spacing w:line="360" w:lineRule="auto"/>
              <w:ind w:firstLine="120" w:firstLineChars="50"/>
              <w:rPr>
                <w:rStyle w:val="6"/>
                <w:rFonts w:hint="eastAsia"/>
                <w:sz w:val="24"/>
              </w:rPr>
            </w:pPr>
            <w:r>
              <w:rPr>
                <w:rStyle w:val="6"/>
                <w:rFonts w:hint="eastAsia"/>
                <w:sz w:val="24"/>
              </w:rPr>
              <w:t>国信资管  淡水泉投资 中银基金   人保养老   国联安基金</w:t>
            </w:r>
          </w:p>
          <w:p>
            <w:pPr>
              <w:spacing w:line="360" w:lineRule="auto"/>
              <w:ind w:firstLine="120" w:firstLineChars="50"/>
              <w:rPr>
                <w:rStyle w:val="6"/>
                <w:rFonts w:hint="eastAsia"/>
                <w:sz w:val="24"/>
              </w:rPr>
            </w:pPr>
            <w:r>
              <w:rPr>
                <w:rStyle w:val="6"/>
                <w:rFonts w:hint="eastAsia"/>
                <w:sz w:val="24"/>
              </w:rPr>
              <w:t>华夏久盈  国华人寿   中欧瑞博   博远基金   明曜投资</w:t>
            </w:r>
          </w:p>
          <w:p>
            <w:pPr>
              <w:spacing w:line="360" w:lineRule="auto"/>
              <w:ind w:firstLine="120" w:firstLineChars="50"/>
              <w:rPr>
                <w:rStyle w:val="6"/>
                <w:rFonts w:hint="eastAsia"/>
                <w:sz w:val="24"/>
              </w:rPr>
            </w:pPr>
            <w:r>
              <w:rPr>
                <w:rStyle w:val="6"/>
                <w:rFonts w:hint="eastAsia"/>
                <w:sz w:val="24"/>
              </w:rPr>
              <w:t xml:space="preserve">        </w:t>
            </w:r>
          </w:p>
          <w:p>
            <w:pPr>
              <w:spacing w:line="360" w:lineRule="auto"/>
              <w:rPr>
                <w:rStyle w:val="6"/>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883"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时间</w:t>
            </w:r>
          </w:p>
        </w:tc>
        <w:tc>
          <w:tcPr>
            <w:tcW w:w="6735"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sz w:val="24"/>
              </w:rPr>
            </w:pPr>
            <w:r>
              <w:rPr>
                <w:rStyle w:val="6"/>
                <w:rFonts w:ascii="宋体" w:hAnsi="宋体"/>
                <w:bCs/>
                <w:iCs/>
                <w:color w:val="000000"/>
                <w:sz w:val="24"/>
              </w:rPr>
              <w:t>20</w:t>
            </w:r>
            <w:r>
              <w:rPr>
                <w:rStyle w:val="6"/>
                <w:rFonts w:hint="eastAsia" w:ascii="宋体" w:hAnsi="宋体"/>
                <w:bCs/>
                <w:iCs/>
                <w:color w:val="000000"/>
                <w:sz w:val="24"/>
              </w:rPr>
              <w:t>22</w:t>
            </w:r>
            <w:r>
              <w:rPr>
                <w:rStyle w:val="6"/>
                <w:rFonts w:ascii="宋体" w:hAnsi="宋体"/>
                <w:bCs/>
                <w:iCs/>
                <w:color w:val="000000"/>
                <w:sz w:val="24"/>
              </w:rPr>
              <w:t>年</w:t>
            </w:r>
            <w:r>
              <w:rPr>
                <w:rStyle w:val="6"/>
                <w:rFonts w:hint="eastAsia" w:ascii="宋体" w:hAnsi="宋体"/>
                <w:bCs/>
                <w:iCs/>
                <w:color w:val="000000"/>
                <w:sz w:val="24"/>
              </w:rPr>
              <w:t>1</w:t>
            </w:r>
            <w:r>
              <w:rPr>
                <w:rStyle w:val="6"/>
                <w:rFonts w:ascii="宋体" w:hAnsi="宋体"/>
                <w:bCs/>
                <w:iCs/>
                <w:color w:val="000000"/>
                <w:sz w:val="24"/>
              </w:rPr>
              <w:t>月</w:t>
            </w:r>
            <w:r>
              <w:rPr>
                <w:rStyle w:val="6"/>
                <w:rFonts w:hint="eastAsia" w:ascii="宋体" w:hAnsi="宋体"/>
                <w:bCs/>
                <w:iCs/>
                <w:color w:val="000000"/>
                <w:sz w:val="24"/>
              </w:rPr>
              <w:t>5</w:t>
            </w:r>
            <w:r>
              <w:rPr>
                <w:rStyle w:val="6"/>
                <w:rFonts w:ascii="宋体" w:hAnsi="宋体"/>
                <w:bCs/>
                <w:iCs/>
                <w:color w:val="000000"/>
                <w:sz w:val="24"/>
              </w:rPr>
              <w:t>日</w:t>
            </w:r>
            <w:r>
              <w:rPr>
                <w:rStyle w:val="6"/>
                <w:rFonts w:hint="eastAsia" w:ascii="宋体" w:hAnsi="宋体"/>
                <w:bCs/>
                <w:iCs/>
                <w:color w:val="000000"/>
                <w:sz w:val="24"/>
              </w:rPr>
              <w:t>下</w:t>
            </w:r>
            <w:r>
              <w:rPr>
                <w:rStyle w:val="6"/>
                <w:rFonts w:ascii="宋体" w:hAnsi="宋体"/>
                <w:bCs/>
                <w:iCs/>
                <w:color w:val="000000"/>
                <w:sz w:val="24"/>
              </w:rPr>
              <w:t>午</w:t>
            </w:r>
            <w:r>
              <w:rPr>
                <w:rStyle w:val="6"/>
                <w:rFonts w:hint="eastAsia" w:ascii="宋体" w:hAnsi="宋体"/>
                <w:bCs/>
                <w:iCs/>
                <w:color w:val="000000"/>
                <w:sz w:val="24"/>
              </w:rPr>
              <w:t>15</w:t>
            </w:r>
            <w:r>
              <w:rPr>
                <w:rStyle w:val="6"/>
                <w:rFonts w:ascii="宋体" w:hAnsi="宋体"/>
                <w:bCs/>
                <w:iCs/>
                <w:color w:val="000000"/>
                <w:sz w:val="24"/>
              </w:rPr>
              <w:t>：</w:t>
            </w:r>
            <w:r>
              <w:rPr>
                <w:rStyle w:val="6"/>
                <w:rFonts w:hint="eastAsia" w:ascii="宋体" w:hAnsi="宋体"/>
                <w:bCs/>
                <w:iCs/>
                <w:color w:val="000000"/>
                <w:sz w:val="24"/>
              </w:rPr>
              <w:t>0</w:t>
            </w:r>
            <w:r>
              <w:rPr>
                <w:rStyle w:val="6"/>
                <w:rFonts w:ascii="宋体" w:hAnsi="宋体"/>
                <w:bCs/>
                <w:iCs/>
                <w:color w:val="000000"/>
                <w:sz w:val="24"/>
              </w:rPr>
              <w:t>0-1</w:t>
            </w:r>
            <w:r>
              <w:rPr>
                <w:rStyle w:val="6"/>
                <w:rFonts w:hint="eastAsia" w:ascii="宋体" w:hAnsi="宋体"/>
                <w:bCs/>
                <w:iCs/>
                <w:color w:val="000000"/>
                <w:sz w:val="24"/>
              </w:rPr>
              <w:t>6:</w:t>
            </w:r>
            <w:r>
              <w:rPr>
                <w:rStyle w:val="6"/>
                <w:rFonts w:hint="eastAsia" w:ascii="宋体" w:hAnsi="宋体"/>
                <w:bCs/>
                <w:iCs/>
                <w:color w:val="000000"/>
                <w:sz w:val="24"/>
                <w:lang w:val="en-US" w:eastAsia="zh-CN"/>
              </w:rPr>
              <w:t>2</w:t>
            </w:r>
            <w:r>
              <w:rPr>
                <w:rStyle w:val="6"/>
                <w:rFonts w:hint="eastAsia" w:ascii="宋体" w:hAnsi="宋体"/>
                <w:bCs/>
                <w:iCs/>
                <w:color w:val="000000"/>
                <w:sz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883"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地点</w:t>
            </w:r>
          </w:p>
        </w:tc>
        <w:tc>
          <w:tcPr>
            <w:tcW w:w="6735"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sz w:val="24"/>
              </w:rPr>
            </w:pPr>
            <w:r>
              <w:rPr>
                <w:rStyle w:val="6"/>
                <w:rFonts w:hint="eastAsia" w:ascii="宋体" w:hAnsi="宋体"/>
                <w:bCs/>
                <w:iCs/>
                <w:color w:val="000000"/>
                <w:sz w:val="24"/>
              </w:rPr>
              <w:t xml:space="preserve">浙江仙琚制药股份有限公司   </w:t>
            </w:r>
            <w:r>
              <w:rPr>
                <w:rStyle w:val="6"/>
                <w:rFonts w:hint="eastAsia" w:ascii="宋体" w:hAnsi="宋体"/>
                <w:bCs/>
                <w:iCs/>
                <w:sz w:val="24"/>
              </w:rPr>
              <w:t>（电话会）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883"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
                <w:bCs/>
                <w:iCs/>
                <w:color w:val="000000"/>
                <w:sz w:val="24"/>
              </w:rPr>
            </w:pPr>
            <w:r>
              <w:rPr>
                <w:rStyle w:val="6"/>
                <w:rFonts w:ascii="宋体" w:hAnsi="宋体"/>
                <w:b/>
                <w:bCs/>
                <w:iCs/>
                <w:color w:val="000000"/>
                <w:sz w:val="24"/>
              </w:rPr>
              <w:t>上市公司接待人员姓名</w:t>
            </w:r>
          </w:p>
        </w:tc>
        <w:tc>
          <w:tcPr>
            <w:tcW w:w="6735"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sz w:val="24"/>
              </w:rPr>
            </w:pPr>
            <w:r>
              <w:rPr>
                <w:rStyle w:val="6"/>
                <w:rFonts w:ascii="宋体" w:hAnsi="宋体"/>
                <w:bCs/>
                <w:iCs/>
                <w:color w:val="000000"/>
                <w:sz w:val="24"/>
              </w:rPr>
              <w:t>董事会秘书    张王伟</w:t>
            </w:r>
          </w:p>
          <w:p>
            <w:pPr>
              <w:spacing w:line="480" w:lineRule="atLeast"/>
              <w:rPr>
                <w:rStyle w:val="6"/>
                <w:rFonts w:ascii="宋体" w:hAnsi="宋体"/>
                <w:bCs/>
                <w:iCs/>
                <w:color w:val="000000"/>
                <w:sz w:val="24"/>
              </w:rPr>
            </w:pPr>
            <w:r>
              <w:rPr>
                <w:rStyle w:val="6"/>
                <w:rFonts w:ascii="宋体" w:hAnsi="宋体"/>
                <w:bCs/>
                <w:iCs/>
                <w:color w:val="000000"/>
                <w:sz w:val="24"/>
              </w:rPr>
              <w:t xml:space="preserve">证券事务代表  </w:t>
            </w:r>
            <w:r>
              <w:rPr>
                <w:rStyle w:val="6"/>
                <w:rFonts w:hint="eastAsia" w:ascii="宋体" w:hAnsi="宋体"/>
                <w:bCs/>
                <w:iCs/>
                <w:color w:val="000000"/>
                <w:sz w:val="24"/>
              </w:rPr>
              <w:t>沈旭红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7" w:hRule="atLeast"/>
        </w:trPr>
        <w:tc>
          <w:tcPr>
            <w:tcW w:w="1883" w:type="dxa"/>
            <w:tcBorders>
              <w:top w:val="single" w:color="000000" w:sz="4" w:space="0"/>
              <w:left w:val="single" w:color="000000" w:sz="4" w:space="0"/>
              <w:bottom w:val="single" w:color="000000" w:sz="4" w:space="0"/>
              <w:right w:val="single" w:color="000000" w:sz="4" w:space="0"/>
            </w:tcBorders>
            <w:vAlign w:val="center"/>
          </w:tcPr>
          <w:p>
            <w:pPr>
              <w:spacing w:line="480" w:lineRule="atLeast"/>
              <w:rPr>
                <w:rStyle w:val="6"/>
                <w:rFonts w:ascii="宋体" w:hAnsi="宋体"/>
                <w:b/>
                <w:bCs/>
                <w:iCs/>
                <w:color w:val="000000" w:themeColor="text1"/>
                <w:sz w:val="24"/>
              </w:rPr>
            </w:pPr>
            <w:r>
              <w:rPr>
                <w:rStyle w:val="6"/>
                <w:rFonts w:ascii="宋体" w:hAnsi="宋体"/>
                <w:b/>
                <w:bCs/>
                <w:iCs/>
                <w:color w:val="000000" w:themeColor="text1"/>
                <w:sz w:val="24"/>
              </w:rPr>
              <w:t>投资者关系活动主要内容介绍</w:t>
            </w:r>
          </w:p>
          <w:p>
            <w:pPr>
              <w:spacing w:line="480" w:lineRule="atLeast"/>
              <w:rPr>
                <w:rStyle w:val="6"/>
                <w:rFonts w:ascii="宋体" w:hAnsi="宋体"/>
                <w:b/>
                <w:bCs/>
                <w:iCs/>
                <w:color w:val="000000" w:themeColor="text1"/>
                <w:sz w:val="24"/>
              </w:rPr>
            </w:pPr>
          </w:p>
        </w:tc>
        <w:tc>
          <w:tcPr>
            <w:tcW w:w="6735" w:type="dxa"/>
            <w:tcBorders>
              <w:top w:val="single" w:color="000000" w:sz="4" w:space="0"/>
              <w:left w:val="single" w:color="000000" w:sz="4" w:space="0"/>
              <w:bottom w:val="single" w:color="000000" w:sz="4" w:space="0"/>
              <w:right w:val="single" w:color="000000" w:sz="4" w:space="0"/>
            </w:tcBorders>
          </w:tcPr>
          <w:p>
            <w:pPr>
              <w:spacing w:line="420" w:lineRule="exact"/>
              <w:rPr>
                <w:rStyle w:val="6"/>
                <w:rFonts w:ascii="宋体" w:hAnsi="宋体"/>
                <w:b/>
                <w:sz w:val="24"/>
                <w:szCs w:val="22"/>
              </w:rPr>
            </w:pPr>
            <w:r>
              <w:rPr>
                <w:rStyle w:val="6"/>
                <w:rFonts w:ascii="宋体" w:hAnsi="宋体"/>
                <w:b/>
                <w:color w:val="000000" w:themeColor="text1"/>
                <w:sz w:val="24"/>
              </w:rPr>
              <w:t>1、</w:t>
            </w:r>
            <w:r>
              <w:rPr>
                <w:rStyle w:val="6"/>
                <w:rFonts w:hint="eastAsia" w:ascii="宋体" w:hAnsi="宋体"/>
                <w:b/>
                <w:sz w:val="24"/>
                <w:szCs w:val="22"/>
              </w:rPr>
              <w:t>甾体原料药的全球行业格局及变化情况</w:t>
            </w:r>
          </w:p>
          <w:p>
            <w:pPr>
              <w:spacing w:line="360" w:lineRule="auto"/>
              <w:ind w:firstLine="480" w:firstLineChars="200"/>
              <w:jc w:val="left"/>
              <w:rPr>
                <w:rStyle w:val="6"/>
                <w:rFonts w:hint="eastAsia" w:ascii="宋体" w:hAnsi="宋体"/>
                <w:b w:val="0"/>
                <w:bCs/>
                <w:sz w:val="24"/>
                <w:szCs w:val="22"/>
                <w:highlight w:val="none"/>
                <w:lang w:val="zh-CN" w:eastAsia="zh-CN"/>
              </w:rPr>
            </w:pPr>
            <w:r>
              <w:rPr>
                <w:rStyle w:val="6"/>
                <w:rFonts w:hint="eastAsia" w:ascii="宋体" w:hAnsi="宋体"/>
                <w:b w:val="0"/>
                <w:bCs/>
                <w:sz w:val="24"/>
                <w:szCs w:val="22"/>
                <w:highlight w:val="none"/>
                <w:lang w:val="zh-CN" w:eastAsia="zh-CN"/>
              </w:rPr>
              <w:t>甾体激素类药物主要包括孕激素、雌激素、雄激素、糖皮质激素和盐皮质激素等。为了达到更好的治疗效果和更低的副反应，科研人员还会对其侧链加以修饰，衍生出更多高效低副的甾体药物衍生物。</w:t>
            </w:r>
          </w:p>
          <w:p>
            <w:pPr>
              <w:spacing w:line="360" w:lineRule="auto"/>
              <w:ind w:firstLine="480" w:firstLineChars="200"/>
              <w:jc w:val="left"/>
              <w:rPr>
                <w:rStyle w:val="6"/>
                <w:rFonts w:hint="eastAsia" w:ascii="宋体" w:hAnsi="宋体"/>
                <w:bCs/>
                <w:sz w:val="24"/>
                <w:szCs w:val="22"/>
              </w:rPr>
            </w:pPr>
            <w:r>
              <w:rPr>
                <w:rStyle w:val="6"/>
                <w:rFonts w:hint="eastAsia" w:ascii="宋体" w:hAnsi="宋体"/>
                <w:bCs/>
                <w:sz w:val="24"/>
                <w:szCs w:val="22"/>
              </w:rPr>
              <w:t>全球范围内的甾体药物的市场容量大，厂家主要集中在大型跨国制药公司，例如GSK、阿斯利康、勃林格殷格翰、辉瑞、拜耳、默克、赛诺菲-安万特、TEVA、迈兰等公司，分别在呼吸科、雌激素补充、短效避孕药、皮质激素制剂等某类治疗领域独具特色。</w:t>
            </w:r>
          </w:p>
          <w:p>
            <w:pPr>
              <w:spacing w:line="360" w:lineRule="auto"/>
              <w:ind w:firstLine="480" w:firstLineChars="200"/>
              <w:jc w:val="left"/>
              <w:rPr>
                <w:rStyle w:val="6"/>
                <w:rFonts w:hint="eastAsia" w:ascii="宋体" w:hAnsi="宋体"/>
                <w:bCs/>
                <w:sz w:val="24"/>
                <w:szCs w:val="22"/>
              </w:rPr>
            </w:pPr>
            <w:r>
              <w:rPr>
                <w:rStyle w:val="6"/>
                <w:rFonts w:hint="eastAsia" w:ascii="宋体" w:hAnsi="宋体"/>
                <w:b w:val="0"/>
                <w:bCs/>
                <w:sz w:val="24"/>
                <w:szCs w:val="22"/>
                <w:highlight w:val="none"/>
                <w:lang w:val="en-US" w:eastAsia="zh-CN"/>
              </w:rPr>
              <w:t>从国内市场来看，尽管国内拥有一定数量的甾体激素类企业，但大多集中在糖皮质激素领域。</w:t>
            </w:r>
          </w:p>
          <w:p>
            <w:pPr>
              <w:spacing w:line="360" w:lineRule="auto"/>
              <w:ind w:firstLine="480" w:firstLineChars="200"/>
              <w:jc w:val="left"/>
              <w:rPr>
                <w:rStyle w:val="6"/>
                <w:rFonts w:hint="eastAsia" w:ascii="宋体" w:hAnsi="宋体"/>
                <w:b w:val="0"/>
                <w:bCs/>
                <w:sz w:val="24"/>
                <w:szCs w:val="22"/>
                <w:highlight w:val="none"/>
                <w:lang w:val="en-US" w:eastAsia="zh-CN"/>
              </w:rPr>
            </w:pPr>
            <w:r>
              <w:rPr>
                <w:rStyle w:val="6"/>
                <w:rFonts w:hint="eastAsia" w:ascii="宋体" w:hAnsi="宋体"/>
                <w:bCs/>
                <w:sz w:val="24"/>
                <w:szCs w:val="22"/>
              </w:rPr>
              <w:t>仙琚制药专注甾体领域，依托现有杨府原料药新厂区、台州仙琚厂区在皮质激素系列、性激素系列、孕激素系列、非激素系列四个系列中目前均具备良好的产品、产能和技术基础。</w:t>
            </w:r>
            <w:r>
              <w:rPr>
                <w:rStyle w:val="6"/>
                <w:rFonts w:hint="eastAsia" w:ascii="宋体" w:hAnsi="宋体"/>
                <w:b w:val="0"/>
                <w:bCs/>
                <w:sz w:val="24"/>
                <w:szCs w:val="22"/>
                <w:highlight w:val="none"/>
                <w:lang w:val="en-US" w:eastAsia="zh-CN"/>
              </w:rPr>
              <w:t>仙琚制药目前主要生产、销售的甾体激素类药物品种只有30余种，新品种的开发和向规范市场的升级均有序推进。</w:t>
            </w:r>
          </w:p>
          <w:p>
            <w:pPr>
              <w:spacing w:line="360" w:lineRule="auto"/>
              <w:ind w:firstLine="480" w:firstLineChars="200"/>
              <w:jc w:val="left"/>
              <w:rPr>
                <w:rStyle w:val="6"/>
                <w:rFonts w:hint="eastAsia" w:ascii="宋体" w:hAnsi="宋体"/>
                <w:bCs/>
                <w:color w:val="000000" w:themeColor="text1"/>
                <w:sz w:val="24"/>
                <w:szCs w:val="22"/>
              </w:rPr>
            </w:pPr>
            <w:r>
              <w:rPr>
                <w:rStyle w:val="6"/>
                <w:rFonts w:hint="eastAsia" w:ascii="宋体" w:hAnsi="宋体"/>
                <w:bCs/>
                <w:color w:val="000000" w:themeColor="text1"/>
                <w:sz w:val="24"/>
                <w:szCs w:val="22"/>
              </w:rPr>
              <w:t>公司将</w:t>
            </w:r>
            <w:r>
              <w:rPr>
                <w:rStyle w:val="6"/>
                <w:rFonts w:hint="eastAsia" w:ascii="宋体" w:hAnsi="宋体"/>
                <w:bCs/>
                <w:color w:val="000000" w:themeColor="text1"/>
                <w:sz w:val="24"/>
                <w:szCs w:val="22"/>
                <w:lang w:eastAsia="zh-CN"/>
              </w:rPr>
              <w:t>围绕“综合成本”和“品质”</w:t>
            </w:r>
            <w:r>
              <w:rPr>
                <w:rStyle w:val="6"/>
                <w:rFonts w:hint="eastAsia" w:ascii="宋体" w:hAnsi="宋体"/>
                <w:bCs/>
                <w:color w:val="000000" w:themeColor="text1"/>
                <w:sz w:val="24"/>
                <w:szCs w:val="22"/>
              </w:rPr>
              <w:t>做精做全甾体类原料药产品，</w:t>
            </w:r>
            <w:r>
              <w:rPr>
                <w:rStyle w:val="6"/>
                <w:rFonts w:hint="eastAsia" w:ascii="宋体" w:hAnsi="宋体"/>
                <w:bCs/>
                <w:color w:val="000000" w:themeColor="text1"/>
                <w:sz w:val="24"/>
                <w:szCs w:val="22"/>
                <w:lang w:eastAsia="zh-CN"/>
              </w:rPr>
              <w:t>适当发展甾体类药物定制业务，</w:t>
            </w:r>
            <w:r>
              <w:rPr>
                <w:rStyle w:val="6"/>
                <w:rFonts w:hint="eastAsia" w:ascii="宋体" w:hAnsi="宋体"/>
                <w:bCs/>
                <w:color w:val="000000" w:themeColor="text1"/>
                <w:sz w:val="24"/>
                <w:szCs w:val="22"/>
              </w:rPr>
              <w:t>努力成为全球甾体激素的优秀API供应商。</w:t>
            </w:r>
          </w:p>
          <w:p>
            <w:pPr>
              <w:spacing w:line="360" w:lineRule="auto"/>
              <w:ind w:firstLine="480" w:firstLineChars="200"/>
              <w:jc w:val="left"/>
              <w:rPr>
                <w:rStyle w:val="6"/>
                <w:rFonts w:hint="eastAsia" w:ascii="宋体" w:hAnsi="宋体"/>
                <w:bCs/>
                <w:color w:val="000000" w:themeColor="text1"/>
                <w:sz w:val="24"/>
                <w:szCs w:val="22"/>
              </w:rPr>
            </w:pPr>
          </w:p>
          <w:p>
            <w:pPr>
              <w:numPr>
                <w:ilvl w:val="0"/>
                <w:numId w:val="1"/>
              </w:numPr>
              <w:spacing w:line="360" w:lineRule="auto"/>
              <w:jc w:val="left"/>
              <w:rPr>
                <w:rStyle w:val="6"/>
                <w:rFonts w:ascii="宋体" w:hAnsi="宋体"/>
                <w:b/>
                <w:color w:val="000000" w:themeColor="text1"/>
                <w:sz w:val="24"/>
                <w:szCs w:val="22"/>
              </w:rPr>
            </w:pPr>
            <w:r>
              <w:rPr>
                <w:rStyle w:val="6"/>
                <w:rFonts w:hint="eastAsia" w:ascii="宋体" w:hAnsi="宋体"/>
                <w:b/>
                <w:color w:val="000000" w:themeColor="text1"/>
                <w:sz w:val="24"/>
                <w:szCs w:val="22"/>
              </w:rPr>
              <w:t>公司中长期战略定位</w:t>
            </w:r>
          </w:p>
          <w:p>
            <w:pPr>
              <w:spacing w:line="480" w:lineRule="atLeast"/>
              <w:ind w:firstLine="480" w:firstLineChars="200"/>
              <w:rPr>
                <w:rStyle w:val="6"/>
                <w:rFonts w:ascii="宋体" w:hAnsi="宋体"/>
                <w:bCs/>
                <w:iCs/>
                <w:color w:val="000000" w:themeColor="text1"/>
                <w:sz w:val="24"/>
                <w:szCs w:val="22"/>
              </w:rPr>
            </w:pPr>
            <w:r>
              <w:rPr>
                <w:rStyle w:val="6"/>
                <w:rFonts w:hint="eastAsia" w:ascii="宋体" w:hAnsi="宋体"/>
                <w:bCs/>
                <w:iCs/>
                <w:color w:val="000000" w:themeColor="text1"/>
                <w:sz w:val="24"/>
                <w:szCs w:val="22"/>
              </w:rPr>
              <w:t>公司将长期聚焦甾体激素领域，做全、做精激素产业链、不断丰富原料药及制剂产品结构，专注于综合能力提升。</w:t>
            </w:r>
          </w:p>
          <w:p>
            <w:pPr>
              <w:spacing w:line="480" w:lineRule="atLeast"/>
              <w:ind w:firstLine="480" w:firstLineChars="200"/>
              <w:rPr>
                <w:rStyle w:val="6"/>
                <w:rFonts w:ascii="宋体" w:hAnsi="宋体"/>
                <w:bCs/>
                <w:iCs/>
                <w:color w:val="000000" w:themeColor="text1"/>
                <w:sz w:val="24"/>
                <w:szCs w:val="22"/>
              </w:rPr>
            </w:pPr>
            <w:r>
              <w:rPr>
                <w:rStyle w:val="6"/>
                <w:rFonts w:hint="eastAsia" w:ascii="宋体" w:hAnsi="宋体"/>
                <w:bCs/>
                <w:iCs/>
                <w:color w:val="000000" w:themeColor="text1"/>
                <w:sz w:val="24"/>
                <w:szCs w:val="22"/>
              </w:rPr>
              <w:t>甾体激素行业的发展不仅在于产能，更在于产品的价值，产品在规范市场和非规范市场所体现的价值是不同的，因此，公司将更加重视核心品种的研发进度；关注外围环境，寻求价值提升的精准方向。</w:t>
            </w:r>
          </w:p>
          <w:p>
            <w:pPr>
              <w:spacing w:line="360" w:lineRule="auto"/>
              <w:ind w:firstLine="480" w:firstLineChars="200"/>
              <w:jc w:val="left"/>
              <w:rPr>
                <w:rStyle w:val="6"/>
                <w:rFonts w:ascii="宋体" w:hAnsi="宋体"/>
                <w:bCs/>
                <w:color w:val="000000" w:themeColor="text1"/>
                <w:sz w:val="24"/>
                <w:szCs w:val="22"/>
              </w:rPr>
            </w:pPr>
            <w:r>
              <w:rPr>
                <w:rStyle w:val="6"/>
                <w:rFonts w:hint="eastAsia" w:ascii="宋体" w:hAnsi="宋体"/>
                <w:bCs/>
                <w:color w:val="000000" w:themeColor="text1"/>
                <w:sz w:val="24"/>
                <w:szCs w:val="22"/>
              </w:rPr>
              <w:t>原料药是公司的根基和优势之一，甾体激素原料药具有高致敏性，对制造工艺、生产环境要求高；工艺过程复杂，兼具发酵和合成工艺。制剂产品具有多品种小批量，技术门槛高，激素类专线生产等特点，通过近几年技术积累和沉淀，公司将专注于高壁垒的复杂制剂研究，比如肺部给药、半固体凝胶，力争在无菌混悬、吸入制剂等复杂制剂领域实现研发跨越，不断的技术迭代和技术突破，实现高难度技术平台突破，体现高价值。</w:t>
            </w:r>
          </w:p>
          <w:p>
            <w:pPr>
              <w:spacing w:line="480" w:lineRule="atLeast"/>
              <w:ind w:firstLine="480" w:firstLineChars="200"/>
              <w:rPr>
                <w:rStyle w:val="6"/>
                <w:rFonts w:ascii="宋体" w:hAnsi="宋体"/>
                <w:bCs/>
                <w:sz w:val="24"/>
                <w:szCs w:val="22"/>
              </w:rPr>
            </w:pPr>
          </w:p>
          <w:p>
            <w:pPr>
              <w:numPr>
                <w:ilvl w:val="0"/>
                <w:numId w:val="1"/>
              </w:numPr>
              <w:spacing w:line="480" w:lineRule="atLeast"/>
              <w:rPr>
                <w:rStyle w:val="6"/>
                <w:rFonts w:ascii="宋体" w:hAnsi="宋体"/>
                <w:b/>
                <w:iCs/>
                <w:color w:val="000000" w:themeColor="text1"/>
                <w:sz w:val="24"/>
                <w:szCs w:val="22"/>
              </w:rPr>
            </w:pPr>
            <w:r>
              <w:rPr>
                <w:rStyle w:val="6"/>
                <w:rFonts w:hint="eastAsia" w:ascii="宋体" w:hAnsi="宋体"/>
                <w:b/>
                <w:iCs/>
                <w:color w:val="000000" w:themeColor="text1"/>
                <w:sz w:val="24"/>
                <w:szCs w:val="22"/>
              </w:rPr>
              <w:t>公司研发情况</w:t>
            </w:r>
          </w:p>
          <w:p>
            <w:pPr>
              <w:autoSpaceDE w:val="0"/>
              <w:autoSpaceDN w:val="0"/>
              <w:adjustRightInd w:val="0"/>
              <w:spacing w:line="360" w:lineRule="auto"/>
              <w:ind w:firstLine="480" w:firstLineChars="200"/>
              <w:jc w:val="left"/>
              <w:rPr>
                <w:rStyle w:val="6"/>
                <w:rFonts w:ascii="宋体" w:hAnsi="宋体"/>
                <w:bCs/>
                <w:iCs/>
                <w:color w:val="000000" w:themeColor="text1"/>
                <w:sz w:val="24"/>
                <w:szCs w:val="22"/>
              </w:rPr>
            </w:pPr>
            <w:r>
              <w:rPr>
                <w:rFonts w:hint="eastAsia" w:ascii="宋体" w:hAnsi="宋体" w:cs="宋体"/>
                <w:sz w:val="24"/>
                <w:lang w:val="zh-CN"/>
              </w:rPr>
              <w:t>公司根据国家政策环境的新变化对现有开发产品进行梳理，积极推进研发聚焦工作，制剂产品研发围绕公司妇科及辅助生殖、麻醉及肌松、呼吸科等核心治疗领域构建产品群，服务群。公司将通过市场的调查和定位，在各个治疗领域里组建产品群，去寻找、获得所需要的潜力产品，为公司今后5-10年的持续稳健发展做好产品储备。目前主</w:t>
            </w:r>
            <w:r>
              <w:rPr>
                <w:rStyle w:val="6"/>
                <w:rFonts w:hint="eastAsia" w:ascii="宋体" w:hAnsi="宋体"/>
                <w:bCs/>
                <w:iCs/>
                <w:color w:val="000000" w:themeColor="text1"/>
                <w:sz w:val="24"/>
                <w:szCs w:val="22"/>
              </w:rPr>
              <w:t>要在研产品以市场空间和公司机会为切入点，对标竞争格局良好的原研产品管线。</w:t>
            </w:r>
          </w:p>
          <w:p>
            <w:pPr>
              <w:spacing w:line="480" w:lineRule="atLeast"/>
              <w:ind w:firstLine="480"/>
              <w:rPr>
                <w:rStyle w:val="6"/>
                <w:rFonts w:hint="eastAsia" w:ascii="宋体" w:hAnsi="宋体"/>
                <w:bCs/>
                <w:iCs/>
                <w:color w:val="000000" w:themeColor="text1"/>
                <w:sz w:val="24"/>
                <w:szCs w:val="22"/>
              </w:rPr>
            </w:pPr>
            <w:r>
              <w:rPr>
                <w:rStyle w:val="6"/>
                <w:rFonts w:hint="eastAsia" w:ascii="宋体" w:hAnsi="宋体"/>
                <w:bCs/>
                <w:iCs/>
                <w:color w:val="000000" w:themeColor="text1"/>
                <w:sz w:val="24"/>
                <w:szCs w:val="22"/>
              </w:rPr>
              <w:t>国内随着一致性评价，原料药制剂关联审评，拥有更高品质、更充分的质量研究、能提供技术文件包等增值服务的原料药将逐渐成为下游客户的重要选择因素。</w:t>
            </w:r>
          </w:p>
          <w:p>
            <w:pPr>
              <w:autoSpaceDE w:val="0"/>
              <w:autoSpaceDN w:val="0"/>
              <w:adjustRightInd w:val="0"/>
              <w:spacing w:line="360" w:lineRule="auto"/>
              <w:ind w:firstLine="480" w:firstLineChars="200"/>
              <w:jc w:val="left"/>
              <w:rPr>
                <w:rFonts w:ascii="宋体" w:hAnsi="宋体" w:cs="宋体"/>
                <w:sz w:val="24"/>
                <w:lang w:val="zh-CN"/>
              </w:rPr>
            </w:pPr>
            <w:r>
              <w:rPr>
                <w:rFonts w:hint="eastAsia" w:ascii="宋体" w:hAnsi="宋体" w:cs="宋体"/>
                <w:sz w:val="24"/>
                <w:lang w:val="zh-CN"/>
              </w:rPr>
              <w:t>公司一致性评价品种</w:t>
            </w:r>
            <w:r>
              <w:rPr>
                <w:rFonts w:ascii="宋体" w:hAnsi="宋体" w:cs="宋体"/>
                <w:sz w:val="24"/>
                <w:lang w:val="zh-CN"/>
              </w:rPr>
              <w:t>22</w:t>
            </w:r>
            <w:r>
              <w:rPr>
                <w:rFonts w:hint="eastAsia" w:ascii="宋体" w:hAnsi="宋体" w:cs="宋体"/>
                <w:sz w:val="24"/>
                <w:lang w:val="zh-CN"/>
              </w:rPr>
              <w:t>个，已申报</w:t>
            </w:r>
            <w:r>
              <w:rPr>
                <w:rFonts w:hint="eastAsia" w:ascii="宋体" w:hAnsi="宋体" w:cs="宋体"/>
                <w:sz w:val="24"/>
              </w:rPr>
              <w:t>9</w:t>
            </w:r>
            <w:r>
              <w:rPr>
                <w:rFonts w:hint="eastAsia" w:ascii="宋体" w:hAnsi="宋体" w:cs="宋体"/>
                <w:sz w:val="24"/>
                <w:lang w:val="zh-CN"/>
              </w:rPr>
              <w:t>个，过评</w:t>
            </w:r>
            <w:r>
              <w:rPr>
                <w:rFonts w:ascii="宋体" w:hAnsi="宋体" w:cs="宋体"/>
                <w:sz w:val="24"/>
                <w:lang w:val="zh-CN"/>
              </w:rPr>
              <w:t>4</w:t>
            </w:r>
            <w:r>
              <w:rPr>
                <w:rFonts w:hint="eastAsia" w:ascii="宋体" w:hAnsi="宋体" w:cs="宋体"/>
                <w:sz w:val="24"/>
                <w:lang w:val="zh-CN"/>
              </w:rPr>
              <w:t>个。过评产品具体为：罗库溴铵注射液、非那雄胺片、米索前列醇片、盐酸罗哌卡因注射液。泼尼松龙片、醋酸泼尼松片、氟马西尼注射液、地塞米松磷酸钠注射液、米非司酮片一致性评价申报资料获得受理，正在有序推进审批。</w:t>
            </w:r>
          </w:p>
          <w:p>
            <w:pPr>
              <w:autoSpaceDE w:val="0"/>
              <w:autoSpaceDN w:val="0"/>
              <w:adjustRightInd w:val="0"/>
              <w:spacing w:line="360" w:lineRule="auto"/>
              <w:ind w:firstLine="480" w:firstLineChars="200"/>
              <w:jc w:val="left"/>
              <w:rPr>
                <w:rFonts w:hint="eastAsia" w:ascii="宋体" w:hAnsi="宋体" w:eastAsia="宋体" w:cs="宋体"/>
                <w:color w:val="auto"/>
                <w:sz w:val="24"/>
                <w:lang w:val="en-US" w:eastAsia="zh-CN"/>
              </w:rPr>
            </w:pPr>
            <w:r>
              <w:rPr>
                <w:rFonts w:hint="eastAsia" w:ascii="宋体" w:hAnsi="宋体" w:cs="宋体"/>
                <w:sz w:val="24"/>
                <w:lang w:val="zh-CN"/>
              </w:rPr>
              <w:t>新仿制品种</w:t>
            </w:r>
            <w:r>
              <w:rPr>
                <w:rFonts w:ascii="宋体" w:hAnsi="宋体" w:cs="宋体"/>
                <w:sz w:val="24"/>
                <w:lang w:val="zh-CN"/>
              </w:rPr>
              <w:t>18</w:t>
            </w:r>
            <w:r>
              <w:rPr>
                <w:rFonts w:hint="eastAsia" w:ascii="宋体" w:hAnsi="宋体" w:cs="宋体"/>
                <w:sz w:val="24"/>
                <w:lang w:val="zh-CN"/>
              </w:rPr>
              <w:t>个，</w:t>
            </w:r>
            <w:r>
              <w:rPr>
                <w:rFonts w:hint="eastAsia" w:ascii="宋体" w:hAnsi="宋体" w:cs="宋体"/>
                <w:color w:val="auto"/>
                <w:sz w:val="24"/>
                <w:lang w:val="zh-CN"/>
              </w:rPr>
              <w:t>已申报</w:t>
            </w:r>
            <w:r>
              <w:rPr>
                <w:rFonts w:hint="eastAsia" w:ascii="宋体" w:hAnsi="宋体" w:cs="宋体"/>
                <w:color w:val="auto"/>
                <w:sz w:val="24"/>
              </w:rPr>
              <w:t>6</w:t>
            </w:r>
            <w:r>
              <w:rPr>
                <w:rFonts w:hint="eastAsia" w:ascii="宋体" w:hAnsi="宋体" w:cs="宋体"/>
                <w:color w:val="auto"/>
                <w:sz w:val="24"/>
                <w:lang w:val="zh-CN"/>
              </w:rPr>
              <w:t>个。已完成境内药品生产注册申报产品具体为：甲泼尼龙片、舒更葡糖钠原料药及制剂、苯磺顺阿曲库铵注射液、戌酸雌二醇片、地塞米松磷酸钠注射液、屈螺酮炔雌醇片。甲泼尼龙片已通过</w:t>
            </w:r>
            <w:r>
              <w:rPr>
                <w:rFonts w:hint="eastAsia" w:ascii="宋体" w:hAnsi="宋体" w:cs="宋体"/>
                <w:color w:val="auto"/>
                <w:sz w:val="24"/>
                <w:lang w:val="zh-CN" w:eastAsia="zh-CN"/>
              </w:rPr>
              <w:t>审评。</w:t>
            </w:r>
          </w:p>
          <w:p>
            <w:pPr>
              <w:spacing w:line="480" w:lineRule="atLeast"/>
              <w:rPr>
                <w:rStyle w:val="6"/>
                <w:rFonts w:ascii="宋体" w:hAnsi="宋体"/>
                <w:bCs/>
                <w:iCs/>
                <w:color w:val="000000" w:themeColor="text1"/>
                <w:sz w:val="24"/>
                <w:szCs w:val="22"/>
              </w:rPr>
            </w:pPr>
          </w:p>
          <w:p>
            <w:pPr>
              <w:numPr>
                <w:ilvl w:val="0"/>
                <w:numId w:val="1"/>
              </w:numPr>
              <w:spacing w:line="360" w:lineRule="auto"/>
              <w:jc w:val="left"/>
              <w:rPr>
                <w:rStyle w:val="6"/>
                <w:rFonts w:ascii="宋体" w:hAnsi="宋体"/>
                <w:b/>
                <w:color w:val="000000" w:themeColor="text1"/>
                <w:sz w:val="24"/>
                <w:szCs w:val="22"/>
              </w:rPr>
            </w:pPr>
            <w:r>
              <w:rPr>
                <w:rStyle w:val="6"/>
                <w:rFonts w:hint="eastAsia" w:ascii="宋体" w:hAnsi="宋体"/>
                <w:b/>
                <w:color w:val="000000" w:themeColor="text1"/>
                <w:sz w:val="24"/>
                <w:szCs w:val="22"/>
              </w:rPr>
              <w:t>国家集中带量采购政策对公司的影响</w:t>
            </w:r>
          </w:p>
          <w:p>
            <w:pPr>
              <w:autoSpaceDE w:val="0"/>
              <w:autoSpaceDN w:val="0"/>
              <w:adjustRightInd w:val="0"/>
              <w:spacing w:line="360" w:lineRule="auto"/>
              <w:ind w:firstLine="480" w:firstLineChars="200"/>
              <w:jc w:val="left"/>
              <w:rPr>
                <w:rFonts w:ascii="宋体" w:hAnsi="宋体" w:cs="宋体"/>
                <w:iCs/>
                <w:sz w:val="24"/>
                <w:lang w:val="zh-CN"/>
              </w:rPr>
            </w:pPr>
            <w:r>
              <w:rPr>
                <w:rFonts w:hint="eastAsia" w:ascii="宋体" w:hAnsi="宋体" w:cs="宋体"/>
                <w:iCs/>
                <w:sz w:val="24"/>
                <w:lang w:val="zh-CN"/>
              </w:rPr>
              <w:t>公司的产品若纳入集采，主要是麻醉肌松制剂产品的收入端会有影响。顺阿曲库铵集采影响从二季度已经开始体现。公司顺阿曲库铵原料药从原先的单纯自供开始转化为同时对外销售。利润端相对可控。</w:t>
            </w:r>
          </w:p>
          <w:p>
            <w:pPr>
              <w:autoSpaceDE w:val="0"/>
              <w:autoSpaceDN w:val="0"/>
              <w:adjustRightInd w:val="0"/>
              <w:spacing w:line="360" w:lineRule="auto"/>
              <w:ind w:firstLine="480" w:firstLineChars="200"/>
              <w:jc w:val="left"/>
              <w:rPr>
                <w:rFonts w:ascii="宋体" w:hAnsi="宋体" w:cs="宋体"/>
                <w:iCs/>
                <w:sz w:val="24"/>
                <w:lang w:val="zh-CN"/>
              </w:rPr>
            </w:pPr>
            <w:r>
              <w:rPr>
                <w:rFonts w:hint="eastAsia" w:ascii="宋体" w:hAnsi="宋体" w:cs="宋体"/>
                <w:iCs/>
                <w:sz w:val="24"/>
                <w:lang w:val="zh-CN"/>
              </w:rPr>
              <w:t>盐酸罗哌卡因注射液入围第</w:t>
            </w:r>
            <w:r>
              <w:rPr>
                <w:rFonts w:hint="eastAsia" w:ascii="宋体" w:hAnsi="宋体" w:cs="宋体"/>
                <w:iCs/>
                <w:sz w:val="24"/>
              </w:rPr>
              <w:t>5批国家集采，对公司而言是一个很好的机会，</w:t>
            </w:r>
            <w:r>
              <w:rPr>
                <w:rFonts w:hint="eastAsia" w:ascii="宋体" w:hAnsi="宋体" w:cs="宋体"/>
                <w:iCs/>
                <w:sz w:val="24"/>
                <w:lang w:val="zh-CN"/>
              </w:rPr>
              <w:t>销量上体现出大幅提升。</w:t>
            </w:r>
          </w:p>
          <w:p>
            <w:pPr>
              <w:autoSpaceDE w:val="0"/>
              <w:autoSpaceDN w:val="0"/>
              <w:adjustRightInd w:val="0"/>
              <w:spacing w:line="360" w:lineRule="auto"/>
              <w:ind w:firstLine="480" w:firstLineChars="200"/>
              <w:jc w:val="left"/>
              <w:rPr>
                <w:rFonts w:ascii="宋体" w:hAnsi="宋体" w:cs="宋体"/>
                <w:iCs/>
                <w:sz w:val="24"/>
                <w:lang w:val="zh-CN"/>
              </w:rPr>
            </w:pPr>
            <w:r>
              <w:rPr>
                <w:rFonts w:hint="eastAsia" w:ascii="宋体" w:hAnsi="宋体" w:cs="宋体"/>
                <w:iCs/>
                <w:sz w:val="24"/>
                <w:lang w:val="zh-CN"/>
              </w:rPr>
              <w:t>米索前列醇片应用领域小而专，国内生产厂家主要有三家，进入集采也是这三家企业，生产厂家相对固定，用药稳定。</w:t>
            </w:r>
          </w:p>
          <w:p>
            <w:pPr>
              <w:autoSpaceDE w:val="0"/>
              <w:autoSpaceDN w:val="0"/>
              <w:adjustRightInd w:val="0"/>
              <w:spacing w:line="360" w:lineRule="auto"/>
              <w:ind w:firstLine="480" w:firstLineChars="200"/>
              <w:jc w:val="left"/>
              <w:rPr>
                <w:rFonts w:hint="eastAsia" w:ascii="宋体" w:hAnsi="宋体" w:cs="宋体"/>
                <w:iCs/>
                <w:sz w:val="24"/>
                <w:lang w:val="zh-CN"/>
              </w:rPr>
            </w:pPr>
            <w:r>
              <w:rPr>
                <w:rFonts w:hint="eastAsia" w:ascii="宋体" w:hAnsi="宋体" w:cs="宋体"/>
                <w:iCs/>
                <w:sz w:val="24"/>
                <w:lang w:val="zh-CN"/>
              </w:rPr>
              <w:t>罗库溴铵注射液销售由于受顺阿曲库铵进入集采、舒更葡糖钠（罗库拮抗剂）的推广等多方面因素</w:t>
            </w:r>
            <w:r>
              <w:rPr>
                <w:rFonts w:hint="eastAsia" w:ascii="宋体" w:hAnsi="宋体" w:cs="宋体"/>
                <w:iCs/>
                <w:sz w:val="24"/>
                <w:lang w:val="zh-CN" w:eastAsia="zh-CN"/>
              </w:rPr>
              <w:t>影响</w:t>
            </w:r>
            <w:r>
              <w:rPr>
                <w:rFonts w:hint="eastAsia" w:ascii="宋体" w:hAnsi="宋体" w:cs="宋体"/>
                <w:iCs/>
                <w:sz w:val="24"/>
                <w:lang w:val="zh-CN"/>
              </w:rPr>
              <w:t>，今年销售呈现较快的增长状态。作</w:t>
            </w:r>
            <w:bookmarkStart w:id="0" w:name="_GoBack"/>
            <w:bookmarkEnd w:id="0"/>
            <w:r>
              <w:rPr>
                <w:rFonts w:hint="eastAsia" w:ascii="宋体" w:hAnsi="宋体" w:cs="宋体"/>
                <w:iCs/>
                <w:sz w:val="24"/>
                <w:lang w:val="zh-CN"/>
              </w:rPr>
              <w:t>为首家通过该产品的一致性评价，明年是否列入集采、什么时候列入集采一直是大家关心的问题，目前公司积极做市场的覆盖和布局。预计罗库溴铵注射液在未来进入集采后会出现营业收入和销售费用的同比下降趋势，利润相对可控。</w:t>
            </w:r>
          </w:p>
          <w:p>
            <w:pPr>
              <w:spacing w:line="360" w:lineRule="auto"/>
              <w:ind w:firstLine="480" w:firstLineChars="200"/>
              <w:jc w:val="left"/>
              <w:rPr>
                <w:rStyle w:val="6"/>
                <w:rFonts w:ascii="宋体" w:hAnsi="宋体" w:cs="宋体"/>
                <w:iCs/>
                <w:sz w:val="24"/>
                <w:lang w:val="zh-CN"/>
              </w:rPr>
            </w:pPr>
            <w:r>
              <w:rPr>
                <w:rFonts w:hint="eastAsia" w:ascii="宋体" w:hAnsi="宋体" w:cs="宋体"/>
                <w:iCs/>
                <w:sz w:val="24"/>
                <w:lang w:val="zh-CN"/>
              </w:rPr>
              <w:t>基于公司的产品具有多品类、小品种的竞争特点，而且有原料药与制剂一体化的优势，集采影响相对中性。</w:t>
            </w:r>
          </w:p>
          <w:p>
            <w:pPr>
              <w:spacing w:line="360" w:lineRule="auto"/>
              <w:ind w:firstLine="480" w:firstLineChars="200"/>
              <w:jc w:val="left"/>
              <w:rPr>
                <w:rStyle w:val="6"/>
                <w:rFonts w:ascii="宋体" w:hAnsi="宋体"/>
                <w:bCs/>
                <w:color w:val="000000" w:themeColor="text1"/>
                <w:sz w:val="24"/>
                <w:szCs w:val="22"/>
              </w:rPr>
            </w:pPr>
          </w:p>
          <w:p>
            <w:pPr>
              <w:numPr>
                <w:ilvl w:val="0"/>
                <w:numId w:val="1"/>
              </w:numPr>
              <w:spacing w:line="360" w:lineRule="auto"/>
              <w:jc w:val="left"/>
              <w:rPr>
                <w:rStyle w:val="6"/>
                <w:rFonts w:ascii="宋体" w:hAnsi="宋体"/>
                <w:b/>
                <w:color w:val="000000" w:themeColor="text1"/>
                <w:sz w:val="24"/>
                <w:szCs w:val="22"/>
              </w:rPr>
            </w:pPr>
            <w:r>
              <w:rPr>
                <w:rStyle w:val="6"/>
                <w:rFonts w:hint="eastAsia" w:ascii="宋体" w:hAnsi="宋体"/>
                <w:b/>
                <w:color w:val="000000" w:themeColor="text1"/>
                <w:sz w:val="24"/>
                <w:szCs w:val="22"/>
              </w:rPr>
              <w:t>原料药新厂区情况介绍</w:t>
            </w:r>
          </w:p>
          <w:p>
            <w:pPr>
              <w:spacing w:line="360" w:lineRule="auto"/>
              <w:ind w:firstLine="480" w:firstLineChars="200"/>
              <w:jc w:val="left"/>
              <w:rPr>
                <w:rStyle w:val="6"/>
                <w:rFonts w:hint="eastAsia" w:ascii="宋体" w:hAnsi="宋体"/>
                <w:bCs/>
                <w:color w:val="000000" w:themeColor="text1"/>
                <w:sz w:val="24"/>
                <w:szCs w:val="22"/>
              </w:rPr>
            </w:pPr>
            <w:r>
              <w:rPr>
                <w:rStyle w:val="6"/>
                <w:rFonts w:hint="eastAsia" w:ascii="宋体" w:hAnsi="宋体"/>
                <w:bCs/>
                <w:color w:val="000000" w:themeColor="text1"/>
                <w:sz w:val="24"/>
                <w:szCs w:val="22"/>
              </w:rPr>
              <w:t>公司原料药新厂区围绕皮质激素类、孕激素类、性激素类、非激素类的几大品类原料药品种来做。仙琚原料药朝着小、精、特、专方向发展。</w:t>
            </w:r>
          </w:p>
          <w:p>
            <w:pPr>
              <w:autoSpaceDE w:val="0"/>
              <w:autoSpaceDN w:val="0"/>
              <w:adjustRightInd w:val="0"/>
              <w:spacing w:line="360" w:lineRule="auto"/>
              <w:ind w:firstLine="480"/>
              <w:jc w:val="left"/>
              <w:rPr>
                <w:rFonts w:ascii="宋体" w:hAnsi="宋体" w:cs="宋体"/>
                <w:iCs/>
                <w:sz w:val="24"/>
              </w:rPr>
            </w:pPr>
            <w:r>
              <w:rPr>
                <w:rFonts w:hint="eastAsia" w:ascii="宋体" w:hAnsi="宋体" w:cs="宋体"/>
                <w:iCs/>
                <w:sz w:val="24"/>
              </w:rPr>
              <w:t>今年5月份，杨府原料药厂区部分产品取得了欧盟</w:t>
            </w:r>
            <w:r>
              <w:rPr>
                <w:rFonts w:ascii="宋体" w:hAnsi="宋体" w:cs="宋体"/>
                <w:iCs/>
                <w:sz w:val="24"/>
              </w:rPr>
              <w:t>CEP</w:t>
            </w:r>
            <w:r>
              <w:rPr>
                <w:rFonts w:hint="eastAsia" w:ascii="宋体" w:hAnsi="宋体" w:cs="宋体"/>
                <w:iCs/>
                <w:sz w:val="24"/>
              </w:rPr>
              <w:t>证书。</w:t>
            </w:r>
          </w:p>
          <w:p>
            <w:pPr>
              <w:autoSpaceDE w:val="0"/>
              <w:autoSpaceDN w:val="0"/>
              <w:adjustRightInd w:val="0"/>
              <w:spacing w:line="360" w:lineRule="auto"/>
              <w:ind w:firstLine="480"/>
              <w:jc w:val="left"/>
              <w:rPr>
                <w:rFonts w:ascii="宋体" w:hAnsi="宋体" w:cs="宋体"/>
                <w:iCs/>
                <w:sz w:val="24"/>
              </w:rPr>
            </w:pPr>
            <w:r>
              <w:rPr>
                <w:rFonts w:hint="eastAsia" w:ascii="宋体" w:hAnsi="宋体" w:cs="宋体"/>
                <w:iCs/>
                <w:sz w:val="24"/>
              </w:rPr>
              <w:t>今年11月份，杨府原料药厂区部分产品取得了日本GMP证书。</w:t>
            </w:r>
          </w:p>
          <w:p>
            <w:pPr>
              <w:autoSpaceDE w:val="0"/>
              <w:autoSpaceDN w:val="0"/>
              <w:adjustRightInd w:val="0"/>
              <w:spacing w:line="360" w:lineRule="auto"/>
              <w:ind w:firstLine="480"/>
              <w:jc w:val="left"/>
              <w:rPr>
                <w:rFonts w:hint="eastAsia" w:ascii="宋体" w:hAnsi="宋体" w:cs="宋体"/>
                <w:iCs/>
                <w:sz w:val="24"/>
              </w:rPr>
            </w:pPr>
            <w:r>
              <w:rPr>
                <w:rFonts w:hint="eastAsia" w:ascii="宋体" w:hAnsi="宋体" w:cs="宋体"/>
                <w:iCs/>
                <w:sz w:val="24"/>
              </w:rPr>
              <w:t>杨府原料药厂区在今年3 、4月份就做好了美国FDA认证迎检的准备工作，疫情的原因，到目前为止还没有接到明确来检查的通知。FDA认证的延期，在一定程度上影响了公司在北美、南美等市场的客户开拓进度。这些市场一部分客户验证批已供货，但是商业规模销售还有待FDA认证的通过。公司随时做好准备迎接美国FDA认证。</w:t>
            </w:r>
          </w:p>
          <w:p>
            <w:pPr>
              <w:autoSpaceDE w:val="0"/>
              <w:autoSpaceDN w:val="0"/>
              <w:adjustRightInd w:val="0"/>
              <w:spacing w:line="360" w:lineRule="auto"/>
              <w:ind w:firstLine="480"/>
              <w:jc w:val="left"/>
              <w:rPr>
                <w:rFonts w:hint="eastAsia" w:ascii="宋体" w:hAnsi="宋体" w:cs="宋体"/>
                <w:iCs/>
                <w:sz w:val="24"/>
              </w:rPr>
            </w:pPr>
          </w:p>
          <w:p>
            <w:pPr>
              <w:autoSpaceDE w:val="0"/>
              <w:autoSpaceDN w:val="0"/>
              <w:adjustRightInd w:val="0"/>
              <w:spacing w:line="360" w:lineRule="auto"/>
              <w:jc w:val="left"/>
              <w:rPr>
                <w:rFonts w:ascii="宋体" w:hAnsi="宋体" w:cs="宋体"/>
                <w:iCs/>
                <w:sz w:val="24"/>
              </w:rPr>
            </w:pPr>
            <w:r>
              <w:rPr>
                <w:rFonts w:hint="eastAsia" w:ascii="宋体" w:hAnsi="宋体" w:cs="宋体"/>
                <w:iCs/>
                <w:sz w:val="24"/>
              </w:rPr>
              <w:t>6</w:t>
            </w:r>
            <w:r>
              <w:rPr>
                <w:rStyle w:val="6"/>
                <w:rFonts w:hint="eastAsia"/>
                <w:b/>
                <w:color w:val="000000" w:themeColor="text1"/>
                <w:szCs w:val="22"/>
              </w:rPr>
              <w:t>、</w:t>
            </w:r>
            <w:r>
              <w:rPr>
                <w:rStyle w:val="6"/>
                <w:rFonts w:hint="eastAsia" w:ascii="宋体" w:hAnsi="宋体"/>
                <w:b/>
                <w:color w:val="000000" w:themeColor="text1"/>
                <w:sz w:val="24"/>
                <w:szCs w:val="22"/>
              </w:rPr>
              <w:t>意大利Newchem公司情况</w:t>
            </w:r>
          </w:p>
          <w:p>
            <w:pPr>
              <w:spacing w:line="360" w:lineRule="auto"/>
              <w:ind w:firstLine="480"/>
              <w:jc w:val="left"/>
              <w:rPr>
                <w:rStyle w:val="6"/>
                <w:rFonts w:ascii="Times New Roman" w:hAnsi="宋体"/>
                <w:bCs/>
                <w:sz w:val="24"/>
                <w:szCs w:val="22"/>
              </w:rPr>
            </w:pPr>
            <w:r>
              <w:rPr>
                <w:rStyle w:val="6"/>
                <w:rFonts w:hint="eastAsia" w:hAnsi="宋体"/>
                <w:bCs/>
                <w:sz w:val="24"/>
                <w:szCs w:val="22"/>
              </w:rPr>
              <w:t>意大利Newchem公司拥有两个厂区，</w:t>
            </w:r>
            <w:r>
              <w:rPr>
                <w:rStyle w:val="6"/>
                <w:rFonts w:hint="eastAsia" w:ascii="Times New Roman" w:hAnsi="宋体"/>
                <w:bCs/>
                <w:sz w:val="24"/>
                <w:szCs w:val="22"/>
              </w:rPr>
              <w:t>Newchem公司有62个产品，其中皮质类固醇产品38个，激素类产品8个，前列腺素产品7个，其他激素衍生物9个；目前24个产品具备DMF或CEP文号，在美国、欧盟和日本等规范市场获得准入，Newchem的皮质类固醇类产品丙酸氟替卡松、糠酸氟替卡松、氟米松新戊酸酯、甲基泼尼松龙琥珀酸钠等是公司原料药产品的下游高端衍生物，很多特色品种近两年有效拓展了增量市场，所有产品对接国际高端市场。Newchem整体运营稳健。</w:t>
            </w:r>
          </w:p>
          <w:p>
            <w:pPr>
              <w:spacing w:line="360" w:lineRule="auto"/>
              <w:ind w:firstLine="480" w:firstLineChars="200"/>
              <w:jc w:val="left"/>
              <w:rPr>
                <w:rStyle w:val="6"/>
                <w:rFonts w:ascii="宋体" w:hAnsi="宋体"/>
                <w:bCs/>
                <w:color w:val="000000" w:themeColor="text1"/>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883" w:type="dxa"/>
            <w:tcBorders>
              <w:top w:val="single" w:color="000000" w:sz="4" w:space="0"/>
              <w:left w:val="single" w:color="000000" w:sz="4" w:space="0"/>
              <w:bottom w:val="single" w:color="000000" w:sz="4" w:space="0"/>
              <w:right w:val="single" w:color="000000" w:sz="4" w:space="0"/>
            </w:tcBorders>
            <w:vAlign w:val="center"/>
          </w:tcPr>
          <w:p>
            <w:pPr>
              <w:spacing w:line="480" w:lineRule="atLeast"/>
              <w:rPr>
                <w:rStyle w:val="6"/>
                <w:rFonts w:ascii="宋体" w:hAnsi="宋体"/>
                <w:b/>
                <w:bCs/>
                <w:iCs/>
                <w:color w:val="000000" w:themeColor="text1"/>
                <w:sz w:val="24"/>
              </w:rPr>
            </w:pPr>
            <w:r>
              <w:rPr>
                <w:rStyle w:val="6"/>
                <w:rFonts w:ascii="宋体" w:hAnsi="宋体"/>
                <w:b/>
                <w:bCs/>
                <w:iCs/>
                <w:color w:val="000000" w:themeColor="text1"/>
                <w:sz w:val="24"/>
              </w:rPr>
              <w:t>附件清单</w:t>
            </w:r>
          </w:p>
          <w:p>
            <w:pPr>
              <w:spacing w:line="480" w:lineRule="atLeast"/>
              <w:rPr>
                <w:rStyle w:val="6"/>
                <w:rFonts w:ascii="宋体" w:hAnsi="宋体"/>
                <w:b/>
                <w:bCs/>
                <w:iCs/>
                <w:color w:val="000000" w:themeColor="text1"/>
                <w:sz w:val="24"/>
              </w:rPr>
            </w:pPr>
            <w:r>
              <w:rPr>
                <w:rStyle w:val="6"/>
                <w:rFonts w:ascii="宋体" w:hAnsi="宋体"/>
                <w:b/>
                <w:bCs/>
                <w:iCs/>
                <w:color w:val="000000" w:themeColor="text1"/>
                <w:sz w:val="24"/>
              </w:rPr>
              <w:t>（如有）</w:t>
            </w:r>
          </w:p>
        </w:tc>
        <w:tc>
          <w:tcPr>
            <w:tcW w:w="6735"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themeColor="text1"/>
                <w:sz w:val="24"/>
              </w:rPr>
            </w:pPr>
            <w:r>
              <w:rPr>
                <w:rStyle w:val="6"/>
                <w:rFonts w:ascii="宋体" w:hAnsi="宋体"/>
                <w:bCs/>
                <w:iCs/>
                <w:color w:val="000000" w:themeColor="text1"/>
                <w:sz w:val="24"/>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883" w:type="dxa"/>
            <w:tcBorders>
              <w:top w:val="single" w:color="000000" w:sz="4" w:space="0"/>
              <w:left w:val="single" w:color="000000" w:sz="4" w:space="0"/>
              <w:bottom w:val="single" w:color="000000" w:sz="4" w:space="0"/>
              <w:right w:val="single" w:color="000000" w:sz="4" w:space="0"/>
            </w:tcBorders>
            <w:vAlign w:val="center"/>
          </w:tcPr>
          <w:p>
            <w:pPr>
              <w:spacing w:line="480" w:lineRule="atLeast"/>
              <w:rPr>
                <w:rStyle w:val="6"/>
                <w:rFonts w:ascii="宋体" w:hAnsi="宋体"/>
                <w:b/>
                <w:bCs/>
                <w:iCs/>
                <w:color w:val="000000" w:themeColor="text1"/>
                <w:sz w:val="24"/>
              </w:rPr>
            </w:pPr>
            <w:r>
              <w:rPr>
                <w:rStyle w:val="6"/>
                <w:rFonts w:ascii="宋体" w:hAnsi="宋体"/>
                <w:b/>
                <w:bCs/>
                <w:iCs/>
                <w:color w:val="000000" w:themeColor="text1"/>
                <w:sz w:val="24"/>
              </w:rPr>
              <w:t>日期</w:t>
            </w:r>
          </w:p>
        </w:tc>
        <w:tc>
          <w:tcPr>
            <w:tcW w:w="6735" w:type="dxa"/>
            <w:tcBorders>
              <w:top w:val="single" w:color="000000" w:sz="4" w:space="0"/>
              <w:left w:val="single" w:color="000000" w:sz="4" w:space="0"/>
              <w:bottom w:val="single" w:color="000000" w:sz="4" w:space="0"/>
              <w:right w:val="single" w:color="000000" w:sz="4" w:space="0"/>
            </w:tcBorders>
          </w:tcPr>
          <w:p>
            <w:pPr>
              <w:spacing w:line="480" w:lineRule="atLeast"/>
              <w:rPr>
                <w:rStyle w:val="6"/>
                <w:rFonts w:ascii="宋体" w:hAnsi="宋体"/>
                <w:bCs/>
                <w:iCs/>
                <w:color w:val="000000" w:themeColor="text1"/>
                <w:sz w:val="24"/>
              </w:rPr>
            </w:pPr>
            <w:r>
              <w:rPr>
                <w:rStyle w:val="6"/>
                <w:rFonts w:ascii="宋体" w:hAnsi="宋体"/>
                <w:bCs/>
                <w:iCs/>
                <w:color w:val="000000" w:themeColor="text1"/>
                <w:sz w:val="24"/>
              </w:rPr>
              <w:t>20</w:t>
            </w:r>
            <w:r>
              <w:rPr>
                <w:rStyle w:val="6"/>
                <w:rFonts w:hint="eastAsia" w:ascii="宋体" w:hAnsi="宋体"/>
                <w:bCs/>
                <w:iCs/>
                <w:color w:val="000000" w:themeColor="text1"/>
                <w:sz w:val="24"/>
              </w:rPr>
              <w:t>22</w:t>
            </w:r>
            <w:r>
              <w:rPr>
                <w:rStyle w:val="6"/>
                <w:rFonts w:ascii="宋体" w:hAnsi="宋体"/>
                <w:bCs/>
                <w:iCs/>
                <w:color w:val="000000" w:themeColor="text1"/>
                <w:sz w:val="24"/>
              </w:rPr>
              <w:t>年</w:t>
            </w:r>
            <w:r>
              <w:rPr>
                <w:rStyle w:val="6"/>
                <w:rFonts w:hint="eastAsia" w:ascii="宋体" w:hAnsi="宋体"/>
                <w:bCs/>
                <w:iCs/>
                <w:color w:val="000000" w:themeColor="text1"/>
                <w:sz w:val="24"/>
              </w:rPr>
              <w:t>1</w:t>
            </w:r>
            <w:r>
              <w:rPr>
                <w:rStyle w:val="6"/>
                <w:rFonts w:ascii="宋体" w:hAnsi="宋体"/>
                <w:bCs/>
                <w:iCs/>
                <w:color w:val="000000" w:themeColor="text1"/>
                <w:sz w:val="24"/>
              </w:rPr>
              <w:t>月</w:t>
            </w:r>
            <w:r>
              <w:rPr>
                <w:rStyle w:val="6"/>
                <w:rFonts w:hint="eastAsia" w:ascii="宋体" w:hAnsi="宋体"/>
                <w:bCs/>
                <w:iCs/>
                <w:color w:val="000000" w:themeColor="text1"/>
                <w:sz w:val="24"/>
              </w:rPr>
              <w:t>5</w:t>
            </w:r>
            <w:r>
              <w:rPr>
                <w:rStyle w:val="6"/>
                <w:rFonts w:ascii="宋体" w:hAnsi="宋体"/>
                <w:bCs/>
                <w:iCs/>
                <w:color w:val="000000" w:themeColor="text1"/>
                <w:sz w:val="24"/>
              </w:rPr>
              <w:t>日</w:t>
            </w:r>
          </w:p>
        </w:tc>
      </w:tr>
    </w:tbl>
    <w:p>
      <w:pPr>
        <w:spacing w:line="360" w:lineRule="auto"/>
        <w:ind w:firstLine="360"/>
        <w:jc w:val="left"/>
        <w:rPr>
          <w:rStyle w:val="6"/>
          <w:rFonts w:ascii="宋体" w:hAnsi="宋体"/>
          <w:color w:val="000000" w:themeColor="text1"/>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DE3418"/>
    <w:multiLevelType w:val="singleLevel"/>
    <w:tmpl w:val="31DE341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2211E"/>
    <w:rsid w:val="000077EC"/>
    <w:rsid w:val="000111AF"/>
    <w:rsid w:val="00103205"/>
    <w:rsid w:val="0013211C"/>
    <w:rsid w:val="001E42E6"/>
    <w:rsid w:val="0022211E"/>
    <w:rsid w:val="00222F19"/>
    <w:rsid w:val="00387786"/>
    <w:rsid w:val="003C0212"/>
    <w:rsid w:val="003E7B4E"/>
    <w:rsid w:val="004678F9"/>
    <w:rsid w:val="004B5F9D"/>
    <w:rsid w:val="00500DAB"/>
    <w:rsid w:val="00525F7E"/>
    <w:rsid w:val="0057072D"/>
    <w:rsid w:val="005C167E"/>
    <w:rsid w:val="0063720F"/>
    <w:rsid w:val="006433A9"/>
    <w:rsid w:val="00673F59"/>
    <w:rsid w:val="006D7679"/>
    <w:rsid w:val="006E1653"/>
    <w:rsid w:val="0076775C"/>
    <w:rsid w:val="007D35F5"/>
    <w:rsid w:val="00874952"/>
    <w:rsid w:val="009152F2"/>
    <w:rsid w:val="00A128E7"/>
    <w:rsid w:val="00A41C80"/>
    <w:rsid w:val="00AD38E6"/>
    <w:rsid w:val="00B27FA2"/>
    <w:rsid w:val="00B408F7"/>
    <w:rsid w:val="00BC4A0A"/>
    <w:rsid w:val="00C06076"/>
    <w:rsid w:val="00C80D76"/>
    <w:rsid w:val="00CC6199"/>
    <w:rsid w:val="00DF0E62"/>
    <w:rsid w:val="00E3536B"/>
    <w:rsid w:val="00E5244D"/>
    <w:rsid w:val="00E55D97"/>
    <w:rsid w:val="00EB0518"/>
    <w:rsid w:val="00EB5DDB"/>
    <w:rsid w:val="00EC18CF"/>
    <w:rsid w:val="00EE25F4"/>
    <w:rsid w:val="00F45868"/>
    <w:rsid w:val="00F57600"/>
    <w:rsid w:val="00F93DC3"/>
    <w:rsid w:val="00FA0F21"/>
    <w:rsid w:val="00FA1297"/>
    <w:rsid w:val="01D12014"/>
    <w:rsid w:val="05273531"/>
    <w:rsid w:val="07AD72A1"/>
    <w:rsid w:val="07DB5D29"/>
    <w:rsid w:val="07FB4EFE"/>
    <w:rsid w:val="0828574C"/>
    <w:rsid w:val="095F2057"/>
    <w:rsid w:val="09B3652D"/>
    <w:rsid w:val="0A6F58F6"/>
    <w:rsid w:val="0C7940D4"/>
    <w:rsid w:val="0C9E57F7"/>
    <w:rsid w:val="0CE60B1A"/>
    <w:rsid w:val="0FB156BD"/>
    <w:rsid w:val="10657407"/>
    <w:rsid w:val="1183681F"/>
    <w:rsid w:val="124B7A44"/>
    <w:rsid w:val="140C6DF4"/>
    <w:rsid w:val="15B34797"/>
    <w:rsid w:val="1C410F3F"/>
    <w:rsid w:val="1C5D4CAF"/>
    <w:rsid w:val="1C76645C"/>
    <w:rsid w:val="1EDE769F"/>
    <w:rsid w:val="21564F9A"/>
    <w:rsid w:val="21C97537"/>
    <w:rsid w:val="23C632A7"/>
    <w:rsid w:val="24581CCD"/>
    <w:rsid w:val="24781640"/>
    <w:rsid w:val="25C10A17"/>
    <w:rsid w:val="26261FAA"/>
    <w:rsid w:val="27730FD9"/>
    <w:rsid w:val="280638E4"/>
    <w:rsid w:val="28615A1C"/>
    <w:rsid w:val="286E314E"/>
    <w:rsid w:val="2A1D5190"/>
    <w:rsid w:val="2C87471B"/>
    <w:rsid w:val="2E5734CA"/>
    <w:rsid w:val="2F5A7FAE"/>
    <w:rsid w:val="2F627A5E"/>
    <w:rsid w:val="2FA30ED7"/>
    <w:rsid w:val="30B7290D"/>
    <w:rsid w:val="315232A8"/>
    <w:rsid w:val="34285A89"/>
    <w:rsid w:val="3AF864F7"/>
    <w:rsid w:val="3D6545D0"/>
    <w:rsid w:val="3EE52723"/>
    <w:rsid w:val="3F6B2AC9"/>
    <w:rsid w:val="3FC1372E"/>
    <w:rsid w:val="422541A4"/>
    <w:rsid w:val="42F46E82"/>
    <w:rsid w:val="44FF53F5"/>
    <w:rsid w:val="4540473C"/>
    <w:rsid w:val="46871672"/>
    <w:rsid w:val="485E1656"/>
    <w:rsid w:val="4ADB0EEB"/>
    <w:rsid w:val="4B824593"/>
    <w:rsid w:val="4E0060B5"/>
    <w:rsid w:val="4ECC4B5E"/>
    <w:rsid w:val="4F3D71B4"/>
    <w:rsid w:val="4F5E514B"/>
    <w:rsid w:val="502F666B"/>
    <w:rsid w:val="519228EA"/>
    <w:rsid w:val="524B6183"/>
    <w:rsid w:val="549E1CCA"/>
    <w:rsid w:val="5500769F"/>
    <w:rsid w:val="553A50BF"/>
    <w:rsid w:val="571D46CE"/>
    <w:rsid w:val="57E3296E"/>
    <w:rsid w:val="57EA044E"/>
    <w:rsid w:val="59AD2754"/>
    <w:rsid w:val="5C071E4F"/>
    <w:rsid w:val="5F62039E"/>
    <w:rsid w:val="65391840"/>
    <w:rsid w:val="65765787"/>
    <w:rsid w:val="66B82C7C"/>
    <w:rsid w:val="691B1209"/>
    <w:rsid w:val="69293B3A"/>
    <w:rsid w:val="6B9C475C"/>
    <w:rsid w:val="6BDD566B"/>
    <w:rsid w:val="6C0C58DC"/>
    <w:rsid w:val="6CE33CC0"/>
    <w:rsid w:val="6DD877BE"/>
    <w:rsid w:val="7136186B"/>
    <w:rsid w:val="740657A3"/>
    <w:rsid w:val="74267CE5"/>
    <w:rsid w:val="749E2EDE"/>
    <w:rsid w:val="76ED507E"/>
    <w:rsid w:val="770C3160"/>
    <w:rsid w:val="778973E0"/>
    <w:rsid w:val="77F96A80"/>
    <w:rsid w:val="786D601E"/>
    <w:rsid w:val="78D74447"/>
    <w:rsid w:val="79EF3512"/>
    <w:rsid w:val="7BF006F4"/>
    <w:rsid w:val="7F6462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4"/>
    <w:semiHidden/>
    <w:unhideWhenUsed/>
    <w:qFormat/>
    <w:uiPriority w:val="99"/>
    <w:pPr>
      <w:tabs>
        <w:tab w:val="center" w:pos="4153"/>
        <w:tab w:val="right" w:pos="8306"/>
      </w:tabs>
      <w:snapToGrid w:val="0"/>
      <w:jc w:val="left"/>
    </w:pPr>
    <w:rPr>
      <w:sz w:val="18"/>
      <w:szCs w:val="18"/>
    </w:rPr>
  </w:style>
  <w:style w:type="paragraph" w:styleId="3">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NormalCharacter"/>
    <w:qFormat/>
    <w:uiPriority w:val="0"/>
  </w:style>
  <w:style w:type="table" w:customStyle="1" w:styleId="7">
    <w:name w:val="TableNormal"/>
    <w:qFormat/>
    <w:uiPriority w:val="0"/>
    <w:tblPr>
      <w:tblCellMar>
        <w:top w:w="0" w:type="dxa"/>
        <w:left w:w="0" w:type="dxa"/>
        <w:bottom w:w="0" w:type="dxa"/>
        <w:right w:w="0" w:type="dxa"/>
      </w:tblCellMar>
    </w:tblPr>
  </w:style>
  <w:style w:type="character" w:customStyle="1" w:styleId="8">
    <w:name w:val="UserStyle_0"/>
    <w:link w:val="9"/>
    <w:qFormat/>
    <w:uiPriority w:val="0"/>
    <w:rPr>
      <w:kern w:val="2"/>
      <w:sz w:val="18"/>
      <w:szCs w:val="18"/>
    </w:rPr>
  </w:style>
  <w:style w:type="paragraph" w:customStyle="1" w:styleId="9">
    <w:name w:val="Header"/>
    <w:basedOn w:val="1"/>
    <w:link w:val="8"/>
    <w:qFormat/>
    <w:uiPriority w:val="0"/>
    <w:pPr>
      <w:pBdr>
        <w:bottom w:val="single" w:color="000000" w:sz="6" w:space="1"/>
      </w:pBdr>
      <w:tabs>
        <w:tab w:val="center" w:pos="4153"/>
        <w:tab w:val="right" w:pos="8306"/>
      </w:tabs>
      <w:snapToGrid w:val="0"/>
      <w:jc w:val="center"/>
    </w:pPr>
    <w:rPr>
      <w:sz w:val="18"/>
      <w:szCs w:val="18"/>
    </w:rPr>
  </w:style>
  <w:style w:type="character" w:customStyle="1" w:styleId="10">
    <w:name w:val="UserStyle_1"/>
    <w:link w:val="11"/>
    <w:qFormat/>
    <w:uiPriority w:val="0"/>
    <w:rPr>
      <w:kern w:val="2"/>
      <w:sz w:val="18"/>
      <w:szCs w:val="18"/>
    </w:rPr>
  </w:style>
  <w:style w:type="paragraph" w:customStyle="1" w:styleId="11">
    <w:name w:val="Footer"/>
    <w:basedOn w:val="1"/>
    <w:link w:val="10"/>
    <w:qFormat/>
    <w:uiPriority w:val="0"/>
    <w:pPr>
      <w:tabs>
        <w:tab w:val="center" w:pos="4153"/>
        <w:tab w:val="right" w:pos="8306"/>
      </w:tabs>
      <w:snapToGrid w:val="0"/>
      <w:jc w:val="left"/>
    </w:pPr>
    <w:rPr>
      <w:sz w:val="18"/>
      <w:szCs w:val="18"/>
    </w:rPr>
  </w:style>
  <w:style w:type="paragraph" w:customStyle="1" w:styleId="12">
    <w:name w:val="Acetate"/>
    <w:basedOn w:val="1"/>
    <w:qFormat/>
    <w:uiPriority w:val="0"/>
    <w:rPr>
      <w:sz w:val="18"/>
      <w:szCs w:val="18"/>
    </w:rPr>
  </w:style>
  <w:style w:type="character" w:customStyle="1" w:styleId="13">
    <w:name w:val="页眉 Char"/>
    <w:basedOn w:val="5"/>
    <w:link w:val="3"/>
    <w:semiHidden/>
    <w:qFormat/>
    <w:uiPriority w:val="99"/>
    <w:rPr>
      <w:kern w:val="2"/>
      <w:sz w:val="18"/>
      <w:szCs w:val="18"/>
    </w:rPr>
  </w:style>
  <w:style w:type="character" w:customStyle="1" w:styleId="14">
    <w:name w:val="页脚 Char"/>
    <w:basedOn w:val="5"/>
    <w:link w:val="2"/>
    <w:semiHidden/>
    <w:qFormat/>
    <w:uiPriority w:val="99"/>
    <w:rPr>
      <w:kern w:val="2"/>
      <w:sz w:val="18"/>
      <w:szCs w:val="18"/>
    </w:r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437</Words>
  <Characters>2492</Characters>
  <Lines>20</Lines>
  <Paragraphs>5</Paragraphs>
  <TotalTime>5</TotalTime>
  <ScaleCrop>false</ScaleCrop>
  <LinksUpToDate>false</LinksUpToDate>
  <CharactersWithSpaces>2924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2019-10-30T07:33:00Z</dcterms:created>
  <dc:creator>XJ-CJ3-21</dc:creator>
  <cp:lastModifiedBy>九日</cp:lastModifiedBy>
  <cp:lastPrinted>2021-03-03T06:12:00Z</cp:lastPrinted>
  <dcterms:modified xsi:type="dcterms:W3CDTF">2022-01-06T07:39:11Z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50CDEE8293ED4473A0C0833698D8B031</vt:lpwstr>
  </property>
</Properties>
</file>